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440115-2022-05460</w:t>
      </w:r>
    </w:p>
    <w:p>
      <w:pPr>
        <w:jc w:val="center"/>
      </w:pPr>
      <w:r>
        <w:rPr>
          <w:b/>
          <w:sz w:val="24"/>
        </w:rPr>
        <w:t>采购项目编号：</w:t>
      </w:r>
      <w:r>
        <w:rPr>
          <w:b/>
          <w:sz w:val="24"/>
        </w:rPr>
        <w:t>PZGKCZ220214</w:t>
      </w:r>
    </w:p>
    <w:p>
      <w:pPr>
        <w:jc w:val="center"/>
      </w:pPr>
      <w:r>
        <w:rPr>
          <w:b/>
          <w:sz w:val="24"/>
        </w:rPr>
        <w:t>项目名称：</w:t>
      </w:r>
      <w:r>
        <w:rPr>
          <w:b/>
          <w:sz w:val="24"/>
        </w:rPr>
        <w:t>广州市南沙区大岗镇新冠肺炎疫情防控医疗用品采购项目</w:t>
      </w:r>
    </w:p>
    <w:p>
      <w:pPr>
        <w:jc w:val="center"/>
      </w:pPr>
      <w:r>
        <w:rPr>
          <w:b/>
          <w:sz w:val="24"/>
        </w:rPr>
        <w:t>采购人：</w:t>
      </w:r>
      <w:r>
        <w:rPr>
          <w:b/>
          <w:sz w:val="24"/>
        </w:rPr>
        <w:t>广州市南沙区大岗镇人民政府</w:t>
      </w:r>
    </w:p>
    <w:p>
      <w:pPr>
        <w:jc w:val="center"/>
      </w:pPr>
      <w:r>
        <w:rPr>
          <w:b/>
          <w:sz w:val="24"/>
        </w:rPr>
        <w:t>采购代理机构：</w:t>
      </w:r>
      <w:r>
        <w:rPr>
          <w:b/>
          <w:sz w:val="24"/>
        </w:rPr>
        <w:t>品正招标采购（广州）有限公司</w:t>
      </w:r>
    </w:p>
    <w:p>
      <w:pPr>
        <w:ind w:firstLine="480"/>
      </w:pPr>
    </w:p>
    <w:p>
      <w:r>
        <w:rPr/>
        <w:t xml:space="preserve"> </w:t>
      </w:r>
    </w:p>
    <w:p/>
    <w:p>
      <w:pPr>
        <w:jc w:val="center"/>
      </w:pPr>
      <w:r>
        <w:rPr>
          <w:b/>
          <w:sz w:val="36"/>
        </w:rPr>
        <w:t>第一章投标邀请</w:t>
      </w:r>
    </w:p>
    <w:p>
      <w:pPr>
        <w:ind w:firstLine="480"/>
      </w:pPr>
      <w:r>
        <w:rPr/>
        <w:t>品正招标采购（广州）有限公司</w:t>
      </w:r>
      <w:r>
        <w:rPr/>
        <w:t>受</w:t>
      </w:r>
      <w:r>
        <w:rPr/>
        <w:t>广州市南沙区大岗镇人民政府</w:t>
      </w:r>
      <w:r>
        <w:rPr/>
        <w:t>的委托，采用</w:t>
      </w:r>
      <w:r>
        <w:rPr/>
        <w:t>公开招标</w:t>
      </w:r>
      <w:r>
        <w:rPr/>
        <w:t>方式组织采购</w:t>
      </w:r>
      <w:r>
        <w:rPr/>
        <w:t>广州市南沙区大岗镇新冠肺炎疫情防控医疗用品采购项目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广州市南沙区大岗镇新冠肺炎疫情防控医疗用品采购项目</w:t>
      </w:r>
    </w:p>
    <w:p>
      <w:pPr>
        <w:ind w:firstLine="480"/>
      </w:pPr>
      <w:r>
        <w:rPr/>
        <w:t>采购计划编号：</w:t>
      </w:r>
      <w:r>
        <w:rPr/>
        <w:t>440115-2022-05460</w:t>
      </w:r>
    </w:p>
    <w:p>
      <w:pPr>
        <w:ind w:firstLine="480"/>
      </w:pPr>
      <w:r>
        <w:rPr/>
        <w:t>采购项目编号：</w:t>
      </w:r>
      <w:r>
        <w:rPr/>
        <w:t>PZGKCZ220214</w:t>
      </w:r>
    </w:p>
    <w:p>
      <w:pPr>
        <w:ind w:firstLine="480"/>
      </w:pPr>
      <w:r>
        <w:rPr/>
        <w:t>采购方式：</w:t>
      </w:r>
      <w:r>
        <w:rPr/>
        <w:t>公开招标</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采购包1(广州市南沙区大岗镇新冠肺炎疫情防控物资用品采购项目):</w:t>
      </w:r>
    </w:p>
    <w:p>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防疫、防护卫生装备及器具</w:t>
            </w:r>
          </w:p>
        </w:tc>
        <w:tc>
          <w:tcPr>
            <w:tcW w:type="dxa" w:w="2052"/>
          </w:tcPr>
          <w:p>
            <w:r>
              <w:rPr/>
              <w:t>广州市南沙区大岗镇新冠肺炎疫情防控医疗用品采购项目</w:t>
            </w:r>
          </w:p>
        </w:tc>
        <w:tc>
          <w:tcPr>
            <w:tcW w:type="dxa" w:w="977"/>
          </w:tcPr>
          <w:p>
            <w:r>
              <w:rPr/>
              <w:t>1.00(项)</w:t>
            </w:r>
          </w:p>
        </w:tc>
        <w:tc>
          <w:tcPr>
            <w:tcW w:type="dxa" w:w="977"/>
          </w:tcPr>
          <w:p>
            <w:r>
              <w:rPr/>
              <w:t>详见第二章</w:t>
            </w:r>
          </w:p>
        </w:tc>
        <w:tc>
          <w:tcPr>
            <w:tcW w:type="dxa" w:w="977"/>
          </w:tcPr>
          <w:p>
            <w:r>
              <w:rPr/>
              <w:t>2,000,000.00</w:t>
            </w:r>
          </w:p>
        </w:tc>
        <w:tc>
          <w:tcPr>
            <w:tcW w:type="dxa" w:w="977"/>
          </w:tcPr>
          <w:p>
            <w:r>
              <w:rPr/>
              <w:t>否</w:t>
            </w:r>
          </w:p>
        </w:tc>
      </w:tr>
    </w:tbl>
    <w:p/>
    <w:p>
      <w:r>
        <w:rPr/>
        <w:t>本采购包不接受联合体投标</w:t>
      </w:r>
    </w:p>
    <w:p/>
    <w:p>
      <w:r>
        <w:rPr/>
        <w:t>合同履行期限：从合同签订起一年，期满或结算总金额累计达到采购金额，满足其中一个条件本合同有效期即行终止。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分公司已获得总公司有效授权的，总公司取得的相关资质证书对分公司有效。若法律法规或招标文件另有规定的从其规定）</w:t>
      </w:r>
    </w:p>
    <w:p/>
    <w:p>
      <w:r>
        <w:rPr/>
        <w:t>2）有依法缴纳税收和社会保障资金的良好记录：有依法缴纳税收和社会保障资金的良好记录。（提供供应商资格声明函（格式自拟））</w:t>
      </w:r>
    </w:p>
    <w:p/>
    <w:p>
      <w:r>
        <w:rPr/>
        <w:t>3）具有良好的商业信誉和健全的财务会计制度：具有良好的商业信誉和健全的财务会计制度。（提供供应商资格声明函（格式自拟））</w:t>
      </w:r>
    </w:p>
    <w:p/>
    <w:p>
      <w:r>
        <w:rPr/>
        <w:t>4）履行合同所必需的设备和专业技术能力：具有履行合同所必需的设备和专业技术能力。（提供供应商资格声明函（格式自拟））</w:t>
      </w:r>
    </w:p>
    <w:p/>
    <w:p>
      <w:r>
        <w:rPr/>
        <w:t>5）参加采购活动前3年内，在经营活动中没有重大违法记录：参加采购活动前三年内，在经营活动中没有重大违法记录。（提供供应商资格声明函（格式自拟））。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采购包1（广州市南沙区大岗镇新冠肺炎疫情防控物资用品采购项目）：</w:t>
      </w:r>
      <w:r>
        <w:rPr/>
        <w:t>参与的供应商（联合体）提供的货物全部由符合政策要求的中小企业制造。</w:t>
      </w:r>
    </w:p>
    <w:p/>
    <w:p>
      <w:r>
        <w:rPr>
          <w:b/>
          <w:sz w:val="24"/>
        </w:rPr>
        <w:t>3.本项目特定的资格要求：</w:t>
      </w:r>
    </w:p>
    <w:p>
      <w:pPr>
        <w:ind w:firstLine="480"/>
      </w:pPr>
    </w:p>
    <w:p/>
    <w:p>
      <w:r>
        <w:rPr/>
        <w:t>采购包1（广州市南沙区大岗镇新冠肺炎疫情防控物资用品采购项目）：</w:t>
      </w:r>
    </w:p>
    <w:p/>
    <w:p>
      <w:r>
        <w:rPr/>
        <w:t>1)供应商未被列入“信用中国”网站(www.creditchina.gov.cn)“记录失信被执行人或重大税收违法失信主体或政府采购严重违法失信行为记录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不得再参与本项目投标（响应）。（提供《投标函》）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品正招标采购（广州）有限公司网站（http://www.pinzhengzhaobiao.com/）</w:t>
      </w:r>
      <w:r>
        <w:rPr/>
        <w:t>。</w:t>
      </w:r>
    </w:p>
    <w:p>
      <w:r>
        <w:rPr>
          <w:b/>
          <w:sz w:val="28"/>
        </w:rPr>
        <w:t>六.本项目联系方式：</w:t>
      </w:r>
    </w:p>
    <w:p>
      <w:r>
        <w:rPr>
          <w:b/>
          <w:sz w:val="24"/>
        </w:rPr>
        <w:t>1.采购人信息</w:t>
      </w:r>
    </w:p>
    <w:p>
      <w:pPr>
        <w:ind w:firstLine="480"/>
      </w:pPr>
      <w:r>
        <w:rPr/>
        <w:t>名称：</w:t>
      </w:r>
      <w:r>
        <w:rPr/>
        <w:t>广州市南沙区大岗镇人民政府</w:t>
      </w:r>
    </w:p>
    <w:p>
      <w:pPr>
        <w:ind w:firstLine="480"/>
      </w:pPr>
      <w:r>
        <w:rPr/>
        <w:t>地址：</w:t>
      </w:r>
      <w:r>
        <w:rPr/>
        <w:t>大岗镇豪岗大道13号</w:t>
      </w:r>
    </w:p>
    <w:p>
      <w:pPr>
        <w:ind w:firstLine="480"/>
      </w:pPr>
      <w:r>
        <w:rPr/>
        <w:t>联系方式：</w:t>
      </w:r>
      <w:r>
        <w:rPr/>
        <w:t>34999438</w:t>
      </w:r>
    </w:p>
    <w:p>
      <w:r>
        <w:rPr>
          <w:b/>
          <w:sz w:val="24"/>
        </w:rPr>
        <w:t>2.采购代理机构信息</w:t>
      </w:r>
    </w:p>
    <w:p>
      <w:pPr>
        <w:ind w:firstLine="480"/>
      </w:pPr>
      <w:r>
        <w:rPr/>
        <w:t>名称：</w:t>
      </w:r>
      <w:r>
        <w:rPr/>
        <w:t>品正招标采购（广州）有限公司</w:t>
      </w:r>
    </w:p>
    <w:p>
      <w:pPr>
        <w:ind w:firstLine="480"/>
      </w:pPr>
      <w:r>
        <w:rPr/>
        <w:t>地址：</w:t>
      </w:r>
      <w:r>
        <w:rPr/>
        <w:t>广东省广州市南沙区东涌镇大同村市南公路13号茂源创意园A座302</w:t>
      </w:r>
    </w:p>
    <w:p>
      <w:pPr>
        <w:ind w:firstLine="480"/>
      </w:pPr>
      <w:r>
        <w:rPr/>
        <w:t>联系方式：</w:t>
      </w:r>
      <w:r>
        <w:rPr/>
        <w:t>(020)22634050</w:t>
      </w:r>
    </w:p>
    <w:p>
      <w:r>
        <w:rPr>
          <w:b/>
          <w:sz w:val="24"/>
        </w:rPr>
        <w:t>3.项目联系方式</w:t>
      </w:r>
    </w:p>
    <w:p>
      <w:pPr>
        <w:ind w:firstLine="480"/>
      </w:pPr>
      <w:r>
        <w:rPr/>
        <w:t>项目联系人：</w:t>
      </w:r>
      <w:r>
        <w:rPr/>
        <w:t>何小姐</w:t>
      </w:r>
    </w:p>
    <w:p>
      <w:pPr>
        <w:ind w:firstLine="480"/>
      </w:pPr>
      <w:r>
        <w:rPr/>
        <w:t>电话：</w:t>
      </w:r>
      <w:r>
        <w:rPr/>
        <w:t>(020)22634050</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品正招标采购（广州）有限公司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本项目为广州市南沙区大岗镇新冠肺炎疫情防控医疗用品采购项目，预算总金额</w:t>
      </w:r>
      <w:r>
        <w:rPr>
          <w:b/>
          <w:sz w:val="24"/>
        </w:rPr>
        <w:t>2</w:t>
      </w:r>
      <w:r>
        <w:rPr>
          <w:b/>
          <w:sz w:val="24"/>
        </w:rPr>
        <w:t>00</w:t>
      </w:r>
      <w:r>
        <w:rPr>
          <w:b/>
          <w:sz w:val="24"/>
        </w:rPr>
        <w:t>万元。</w:t>
      </w:r>
    </w:p>
    <w:p/>
    <w:p>
      <w:pPr>
        <w:ind w:firstLine="480"/>
      </w:pPr>
    </w:p>
    <w:p/>
    <w:p>
      <w:r>
        <w:rPr/>
        <w:t>采购包1（广州市南沙区大岗镇新冠肺炎疫情防控物资用品采购项目）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从合同签订起一年，期满或结算总金额累计达到采购金额，满足其中一个条件本合同有效期即行终止</w:t>
            </w:r>
          </w:p>
        </w:tc>
      </w:tr>
      <w:tr>
        <w:tc>
          <w:tcPr>
            <w:tcW w:type="dxa" w:w="4153"/>
          </w:tcPr>
          <w:p>
            <w:r>
              <w:rPr/>
              <w:t>标的提供的地点</w:t>
            </w:r>
          </w:p>
        </w:tc>
        <w:tc>
          <w:tcPr>
            <w:tcW w:type="dxa" w:w="4153"/>
          </w:tcPr>
          <w:p/>
          <w:p>
            <w:r>
              <w:rPr/>
              <w:t>由采购人指定地点</w:t>
            </w:r>
          </w:p>
        </w:tc>
      </w:tr>
      <w:tr>
        <w:tc>
          <w:tcPr>
            <w:tcW w:type="dxa" w:w="4153"/>
          </w:tcPr>
          <w:p>
            <w:r>
              <w:rPr/>
              <w:t>付款方式</w:t>
            </w:r>
          </w:p>
        </w:tc>
        <w:tc>
          <w:tcPr>
            <w:tcW w:type="dxa" w:w="4153"/>
          </w:tcPr>
          <w:p/>
          <w:p/>
          <w:p>
            <w:r>
              <w:rPr/>
              <w:t>1期：支付比例100%,由采购人按下列程序付款：  1.本项目采取按季度方式支付，每批次货物的费用按经采购人确认的实际供货数量进行结算，每次货物结算价＝（各类货物的基准价×各类货物的实际供货数量）×中标折扣率 2.中标人凭以下有效文件与采购人结算：（1）合同；（2）中标人开具的正式发票；（3）中标通知书；（4）验收报告等采购人要求的其他相关结算资料。  3.供应商申请货款前应与采购人核对已提供的货物类型及数量，核对无误后，在每个季度结束后的次季度首月10号前按采购人要求提交发票及其他请款资料到采购人处，因采购人使用的是财政资金，采购人在收到中标人发票后10个工作日内向政府采购支付部门提出办理财政支付申请手续（不含政府财政支付部门审核的时间），在规定时间内提出 支付申请手续后即视为采购人已经按期支付。 ★4.中标人须按照采购人要求进行结算。</w:t>
            </w:r>
          </w:p>
        </w:tc>
      </w:tr>
      <w:tr>
        <w:tc>
          <w:tcPr>
            <w:tcW w:type="dxa" w:w="4153"/>
          </w:tcPr>
          <w:p>
            <w:r>
              <w:rPr/>
              <w:t>验收要求</w:t>
            </w:r>
          </w:p>
        </w:tc>
        <w:tc>
          <w:tcPr>
            <w:tcW w:type="dxa" w:w="4153"/>
          </w:tcPr>
          <w:p/>
          <w:p/>
          <w:p/>
          <w:p>
            <w:r>
              <w:rPr/>
              <w:t>1期：1.验收时，货物按照国家标准验收，中标人提供的每批次产品必须为全新产品，包装完整、无污染、外观整洁、无侵权行为、表面无划损、无任何缺陷隐患，附产品合格证，并出具合格检验报告。装箱单号与出厂生产批号一致，并可追索查阅。 2.验收完毕后，双方必须在商品收货清单上签名确认，商品收货清单作为采购人支付货款的依据之一。双方在收货清单上的签名确认仅为直观判断商品数量、规格、品牌、型号是否符合双方约定，产品质量是否合格应以第三方机构的检测报告为准。 3.供货期内供应采购人不适用的商品允许商品不影响二次销售、包装完好情况下免费退换；当出现不合格产品时中标人要无条件更换合格产品。除采购人认可，否则不接受任何形式的降格处理。  4.在采购人或采购人委托人签收之前，商品的所有权和风险属于中标人，商品发生遗失、损坏、质变等由中标人负责。</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其他要求，</w:t>
              <w:tab/>
              <w:t xml:space="preserve"> ★1.采购人如遇特殊情况需要紧急物资的，中标人须在2小时内将物资送至采购人指定地点。如遇到中标人无法满足采购人采购清单所需物资及送达时间，采购人可协助中标人在第三方供应商中采购，所有费用由中标人承担。（提供承诺函） 2.报价要求：本项目投标人报出统一且唯一的投标折扣率，折扣率必须为固定报价，不接受区间报价（如80%～90%），折扣率范围：0%＜折扣率≤100%，根据各产品的最高单价限价为基准价，按照采购人实际采购数量进行结算，结算公式：每次货物结算价＝（各类货物的基准价×各类货物的实际供货数量）×中标折扣率。报价需包含货款、设计、安装、随机零配件、标配工具、运输保险、调试、培训、质保期服务、各项税费及合同实施过程中不可预见费用等。</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r>
              <w:rPr/>
              <w:t>△</w:t>
            </w:r>
          </w:p>
        </w:tc>
        <w:tc>
          <w:tcPr>
            <w:tcW w:type="dxa" w:w="748"/>
          </w:tcPr>
          <w:p>
            <w:pPr>
              <w:jc w:val="left"/>
            </w:pPr>
            <w:r>
              <w:rPr/>
              <w:t>防疫、防护卫生装备及器具</w:t>
            </w:r>
          </w:p>
        </w:tc>
        <w:tc>
          <w:tcPr>
            <w:tcW w:type="dxa" w:w="748"/>
          </w:tcPr>
          <w:p>
            <w:pPr>
              <w:jc w:val="left"/>
            </w:pPr>
            <w:r>
              <w:rPr/>
              <w:t>广州市南沙区大岗镇新冠肺炎疫情防控医疗用品采购项目</w:t>
            </w:r>
          </w:p>
        </w:tc>
        <w:tc>
          <w:tcPr>
            <w:tcW w:type="dxa" w:w="748"/>
          </w:tcPr>
          <w:p>
            <w:pPr>
              <w:jc w:val="left"/>
            </w:pPr>
            <w:r>
              <w:rPr/>
              <w:t>项</w:t>
            </w:r>
          </w:p>
        </w:tc>
        <w:tc>
          <w:tcPr>
            <w:tcW w:type="dxa" w:w="748"/>
          </w:tcPr>
          <w:p>
            <w:pPr>
              <w:jc w:val="right"/>
            </w:pPr>
            <w:r>
              <w:rPr/>
              <w:t>1.00</w:t>
            </w:r>
          </w:p>
        </w:tc>
        <w:tc>
          <w:tcPr>
            <w:tcW w:type="dxa" w:w="748"/>
          </w:tcPr>
          <w:p>
            <w:pPr>
              <w:jc w:val="right"/>
            </w:pPr>
            <w:r>
              <w:rPr/>
              <w:t>2,000,000.00</w:t>
            </w:r>
          </w:p>
        </w:tc>
        <w:tc>
          <w:tcPr>
            <w:tcW w:type="dxa" w:w="748"/>
          </w:tcPr>
          <w:p>
            <w:pPr>
              <w:jc w:val="right"/>
            </w:pPr>
            <w:r>
              <w:rPr/>
              <w:t>2,000,000.00</w:t>
            </w:r>
          </w:p>
        </w:tc>
        <w:tc>
          <w:tcPr>
            <w:tcW w:type="dxa" w:w="748"/>
          </w:tcPr>
          <w:p>
            <w:r>
              <w:rPr/>
              <w:t>100.0</w:t>
            </w:r>
          </w:p>
        </w:tc>
        <w:tc>
          <w:tcPr>
            <w:tcW w:type="dxa" w:w="823"/>
          </w:tcPr>
          <w:p>
            <w:r>
              <w:rPr/>
              <w:t>其他未列明行业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广州市南沙区大岗镇新冠肺炎疫情防控医疗用品采购项目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numPr>
                <w:ilvl w:val="0"/>
                <w:numId w:val="1"/>
              </w:numPr>
              <w:jc w:val="both"/>
            </w:pPr>
            <w:r>
              <w:rPr>
                <w:b/>
                <w:sz w:val="22"/>
              </w:rPr>
              <w:t>一、本次采购项目内容</w:t>
            </w:r>
          </w:p>
          <w:tbl>
            <w:tblPr>
              <w:tblInd w:type="dxa" w:w="135"/>
              <w:tblBorders>
                <w:top w:val="none" w:color="000000" w:sz="4"/>
                <w:left w:val="none" w:color="000000" w:sz="4"/>
                <w:bottom w:val="none" w:color="000000" w:sz="4"/>
                <w:right w:val="none" w:color="000000" w:sz="4"/>
                <w:insideH w:val="none"/>
                <w:insideV w:val="none"/>
              </w:tblBorders>
            </w:tblPr>
            <w:tblGrid>
              <w:gridCol w:w="599"/>
              <w:gridCol w:w="840"/>
              <w:gridCol w:w="2718"/>
              <w:gridCol w:w="554"/>
              <w:gridCol w:w="858"/>
            </w:tblGrid>
            <w:tr>
              <w:tc>
                <w:tcPr>
                  <w:tcW w:type="dxa" w:w="599"/>
                  <w:tcBorders>
                    <w:top w:val="single" w:color="000000" w:sz="4"/>
                    <w:left w:val="single" w:color="000000" w:sz="4"/>
                    <w:bottom w:val="single" w:color="000000" w:sz="4"/>
                    <w:right w:val="single" w:color="000000" w:sz="4"/>
                  </w:tcBorders>
                  <w:vAlign w:val="top"/>
                </w:tcPr>
                <w:p>
                  <w:pPr>
                    <w:jc w:val="both"/>
                  </w:pPr>
                  <w:r>
                    <w:rPr>
                      <w:sz w:val="24"/>
                    </w:rPr>
                    <w:t>序号</w:t>
                  </w:r>
                </w:p>
              </w:tc>
              <w:tc>
                <w:tcPr>
                  <w:tcW w:type="dxa" w:w="840"/>
                  <w:tcBorders>
                    <w:top w:val="single" w:color="000000" w:sz="4"/>
                    <w:left w:val="none" w:color="000000" w:sz="4"/>
                    <w:bottom w:val="single" w:color="000000" w:sz="4"/>
                    <w:right w:val="single" w:color="000000" w:sz="4"/>
                  </w:tcBorders>
                  <w:vAlign w:val="top"/>
                </w:tcPr>
                <w:p>
                  <w:pPr>
                    <w:jc w:val="both"/>
                  </w:pPr>
                  <w:r>
                    <w:rPr>
                      <w:sz w:val="24"/>
                    </w:rPr>
                    <w:t>采购标的</w:t>
                  </w:r>
                </w:p>
              </w:tc>
              <w:tc>
                <w:tcPr>
                  <w:tcW w:type="dxa" w:w="2718"/>
                  <w:tcBorders>
                    <w:top w:val="single" w:color="000000" w:sz="4"/>
                    <w:left w:val="none" w:color="000000" w:sz="4"/>
                    <w:bottom w:val="single" w:color="000000" w:sz="4"/>
                    <w:right w:val="single" w:color="000000" w:sz="4"/>
                  </w:tcBorders>
                  <w:vAlign w:val="top"/>
                </w:tcPr>
                <w:p>
                  <w:pPr>
                    <w:ind w:firstLine="1050"/>
                    <w:jc w:val="both"/>
                  </w:pPr>
                  <w:r>
                    <w:rPr>
                      <w:color w:val="2C3E50"/>
                      <w:sz w:val="24"/>
                    </w:rPr>
                    <w:t>需求参数</w:t>
                  </w:r>
                </w:p>
              </w:tc>
              <w:tc>
                <w:tcPr>
                  <w:tcW w:type="dxa" w:w="554"/>
                  <w:tcBorders>
                    <w:top w:val="single" w:color="000000" w:sz="4"/>
                    <w:left w:val="none" w:color="000000" w:sz="4"/>
                    <w:bottom w:val="single" w:color="000000" w:sz="4"/>
                    <w:right w:val="single" w:color="000000" w:sz="4"/>
                  </w:tcBorders>
                  <w:vAlign w:val="top"/>
                </w:tcPr>
                <w:p>
                  <w:pPr>
                    <w:jc w:val="both"/>
                  </w:pPr>
                  <w:r>
                    <w:rPr>
                      <w:color w:val="2C3E50"/>
                      <w:sz w:val="24"/>
                    </w:rPr>
                    <w:t>单位</w:t>
                  </w:r>
                </w:p>
              </w:tc>
              <w:tc>
                <w:tcPr>
                  <w:tcW w:type="dxa" w:w="858"/>
                  <w:tcBorders>
                    <w:top w:val="single" w:color="000000" w:sz="4"/>
                    <w:left w:val="none" w:color="000000" w:sz="4"/>
                    <w:bottom w:val="single" w:color="000000" w:sz="4"/>
                    <w:right w:val="single" w:color="000000" w:sz="4"/>
                  </w:tcBorders>
                  <w:vAlign w:val="top"/>
                </w:tcPr>
                <w:p>
                  <w:pPr>
                    <w:jc w:val="both"/>
                  </w:pPr>
                  <w:r>
                    <w:rPr>
                      <w:color w:val="2C3E50"/>
                      <w:sz w:val="24"/>
                    </w:rPr>
                    <w:t>最高单价限价（元）</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w:t>
                  </w:r>
                </w:p>
              </w:tc>
              <w:tc>
                <w:tcPr>
                  <w:tcW w:type="dxa" w:w="840"/>
                  <w:tcBorders>
                    <w:top w:val="none" w:color="000000" w:sz="4"/>
                    <w:left w:val="none" w:color="000000" w:sz="4"/>
                    <w:bottom w:val="single" w:color="000000" w:sz="4"/>
                    <w:right w:val="single" w:color="000000" w:sz="4"/>
                  </w:tcBorders>
                  <w:vAlign w:val="top"/>
                </w:tcPr>
                <w:p>
                  <w:pPr>
                    <w:jc w:val="both"/>
                  </w:pPr>
                  <w:r>
                    <w:rPr>
                      <w:sz w:val="24"/>
                    </w:rPr>
                    <w:t>△一次性使用医用外科口罩</w:t>
                  </w:r>
                </w:p>
                <w:p>
                  <w:pPr>
                    <w:ind w:firstLine="480"/>
                  </w:pPr>
                  <w:r>
                    <w:rPr>
                      <w:sz w:val="24"/>
                    </w:rPr>
                    <w:t>（</w:t>
                  </w:r>
                  <w:r>
                    <w:rPr>
                      <w:sz w:val="24"/>
                    </w:rPr>
                    <w:t>10个/包）</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1、型号规格：耳挂式17.5cm*9.5cm；</w:t>
                  </w:r>
                </w:p>
                <w:p>
                  <w:pPr>
                    <w:jc w:val="both"/>
                  </w:pPr>
                  <w:r>
                    <w:rPr>
                      <w:color w:val="2C3E50"/>
                      <w:sz w:val="24"/>
                    </w:rPr>
                    <w:t>2、合成血液穿透：2mL合成血以16.0kPa（120mmHg）压力喷向口罩外侧面后，口罩内侧不应出现渗透；</w:t>
                  </w:r>
                </w:p>
                <w:p>
                  <w:pPr>
                    <w:jc w:val="both"/>
                  </w:pPr>
                  <w:r>
                    <w:rPr>
                      <w:color w:val="2C3E50"/>
                      <w:sz w:val="24"/>
                    </w:rPr>
                    <w:t>▲3、过滤效率：口罩对非油性颗粒（PFE）的过滤效率应不小于30%；</w:t>
                  </w:r>
                </w:p>
                <w:p>
                  <w:pPr>
                    <w:jc w:val="both"/>
                  </w:pPr>
                  <w:r>
                    <w:rPr>
                      <w:color w:val="2C3E50"/>
                      <w:sz w:val="24"/>
                    </w:rPr>
                    <w:t>4、压力差（△P）：口罩两侧面进行气体交换的压力差△P应不大于49Pa；</w:t>
                  </w:r>
                </w:p>
                <w:p>
                  <w:pPr>
                    <w:jc w:val="both"/>
                  </w:pPr>
                  <w:r>
                    <w:rPr>
                      <w:color w:val="2C3E50"/>
                      <w:sz w:val="24"/>
                    </w:rPr>
                    <w:t>5、阻燃性能：口罩材料应采用不易燃材料，口罩离开火焰后燃烧不大于5s；</w:t>
                  </w:r>
                </w:p>
                <w:p>
                  <w:pPr>
                    <w:jc w:val="both"/>
                  </w:pPr>
                  <w:r>
                    <w:rPr>
                      <w:color w:val="2C3E50"/>
                      <w:sz w:val="24"/>
                    </w:rPr>
                    <w:t>6、需符合YY 0469-2011标准。</w:t>
                  </w:r>
                </w:p>
                <w:p>
                  <w:pPr>
                    <w:jc w:val="both"/>
                  </w:pPr>
                  <w:r>
                    <w:rPr>
                      <w:color w:val="2C3E50"/>
                      <w:sz w:val="24"/>
                    </w:rPr>
                    <w:t>7、无菌：产品经环氧乙烷灭菌，应无菌；</w:t>
                  </w:r>
                </w:p>
                <w:p>
                  <w:pPr>
                    <w:jc w:val="both"/>
                  </w:pPr>
                  <w:r>
                    <w:rPr>
                      <w:color w:val="2C3E50"/>
                      <w:sz w:val="24"/>
                    </w:rPr>
                    <w:t>8、环氧乙烷残留量：环氧乙烷的残留量应不超过10μg/g；</w:t>
                  </w:r>
                </w:p>
                <w:p>
                  <w:pPr>
                    <w:jc w:val="both"/>
                  </w:pPr>
                  <w:r>
                    <w:rPr>
                      <w:color w:val="2C3E50"/>
                      <w:sz w:val="24"/>
                    </w:rPr>
                    <w:t>9、每个口罩需为独立包装。</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片</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0.35</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w:t>
                  </w:r>
                </w:p>
              </w:tc>
              <w:tc>
                <w:tcPr>
                  <w:tcW w:type="dxa" w:w="840"/>
                  <w:tcBorders>
                    <w:top w:val="none" w:color="000000" w:sz="4"/>
                    <w:left w:val="none" w:color="000000" w:sz="4"/>
                    <w:bottom w:val="single" w:color="000000" w:sz="4"/>
                    <w:right w:val="single" w:color="000000" w:sz="4"/>
                  </w:tcBorders>
                  <w:vAlign w:val="top"/>
                </w:tcPr>
                <w:p>
                  <w:pPr>
                    <w:jc w:val="both"/>
                  </w:pPr>
                  <w:r>
                    <w:rPr>
                      <w:sz w:val="24"/>
                    </w:rPr>
                    <w:t>N95医用防护口罩（白色折叠式头套式）</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技术参数要求：</w:t>
                  </w:r>
                </w:p>
                <w:p>
                  <w:pPr>
                    <w:jc w:val="both"/>
                  </w:pPr>
                  <w:r>
                    <w:rPr>
                      <w:color w:val="2C3E50"/>
                      <w:sz w:val="24"/>
                    </w:rPr>
                    <w:t>1.产品要求符合GB19083-2010标准。</w:t>
                  </w:r>
                </w:p>
                <w:p>
                  <w:pPr>
                    <w:jc w:val="both"/>
                  </w:pPr>
                  <w:r>
                    <w:rPr>
                      <w:color w:val="2C3E50"/>
                      <w:sz w:val="24"/>
                    </w:rPr>
                    <w:t>2.基本要求：口罩应覆盖佩戴者的口鼻部，应有良好的面部密合性，表面不得有破损、污渍，不应有呼气阀。</w:t>
                  </w:r>
                </w:p>
                <w:p>
                  <w:pPr>
                    <w:jc w:val="both"/>
                  </w:pPr>
                  <w:r>
                    <w:rPr>
                      <w:color w:val="2C3E50"/>
                      <w:sz w:val="24"/>
                    </w:rPr>
                    <w:t>3.鼻夹：口罩上应配有鼻夹。鼻夹由可塑性材料制成。鼻夹应具有可调节性。</w:t>
                  </w:r>
                </w:p>
                <w:p>
                  <w:pPr>
                    <w:jc w:val="both"/>
                  </w:pPr>
                  <w:r>
                    <w:rPr>
                      <w:color w:val="2C3E50"/>
                      <w:sz w:val="24"/>
                    </w:rPr>
                    <w:t>4.口罩带：口罩带应调节方便。应有足够强度固定口罩位置。每根口罩带与口罩体连接点的断裂强力应不小于10N。</w:t>
                  </w:r>
                </w:p>
                <w:p>
                  <w:pPr>
                    <w:jc w:val="both"/>
                  </w:pPr>
                  <w:r>
                    <w:rPr>
                      <w:color w:val="2C3E50"/>
                      <w:sz w:val="24"/>
                    </w:rPr>
                    <w:t>▲5.气流阻力：在气体流量为85L/min情况下，口罩的吸气阻力不得超过343.2Pa。</w:t>
                  </w:r>
                </w:p>
                <w:p>
                  <w:pPr>
                    <w:jc w:val="both"/>
                  </w:pPr>
                  <w:r>
                    <w:rPr>
                      <w:color w:val="2C3E50"/>
                      <w:sz w:val="24"/>
                    </w:rPr>
                    <w:t>6. 阻燃性能：口罩材料应不易燃，续燃时间应不超过5s。</w:t>
                  </w:r>
                </w:p>
                <w:p>
                  <w:pPr>
                    <w:jc w:val="both"/>
                  </w:pPr>
                  <w:r>
                    <w:rPr>
                      <w:color w:val="2C3E50"/>
                      <w:sz w:val="24"/>
                    </w:rPr>
                    <w:t>7.无菌：产品经环氧乙烷灭菌，应无菌。</w:t>
                  </w:r>
                </w:p>
                <w:p>
                  <w:pPr>
                    <w:jc w:val="both"/>
                  </w:pPr>
                  <w:r>
                    <w:rPr>
                      <w:color w:val="2C3E50"/>
                      <w:sz w:val="24"/>
                    </w:rPr>
                    <w:t>8.环氧乙烷残留量：环氧乙烷的残留量应不超过10μg/g。</w:t>
                  </w:r>
                </w:p>
                <w:p>
                  <w:pPr>
                    <w:jc w:val="both"/>
                  </w:pPr>
                  <w:r>
                    <w:rPr>
                      <w:color w:val="2C3E50"/>
                      <w:sz w:val="24"/>
                    </w:rPr>
                    <w:t>9.每个口罩需为独立包装。</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片</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2.2</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w:t>
                  </w:r>
                </w:p>
              </w:tc>
              <w:tc>
                <w:tcPr>
                  <w:tcW w:type="dxa" w:w="840"/>
                  <w:tcBorders>
                    <w:top w:val="none" w:color="000000" w:sz="4"/>
                    <w:left w:val="none" w:color="000000" w:sz="4"/>
                    <w:bottom w:val="single" w:color="000000" w:sz="4"/>
                    <w:right w:val="single" w:color="000000" w:sz="4"/>
                  </w:tcBorders>
                  <w:vAlign w:val="top"/>
                </w:tcPr>
                <w:p>
                  <w:pPr>
                    <w:jc w:val="both"/>
                  </w:pPr>
                  <w:r>
                    <w:rPr>
                      <w:sz w:val="24"/>
                    </w:rPr>
                    <w:t>△一次性使用医用外科口罩</w:t>
                  </w:r>
                </w:p>
                <w:p>
                  <w:r>
                    <w:rPr>
                      <w:sz w:val="24"/>
                    </w:rPr>
                    <w:t>（独立装）</w:t>
                  </w:r>
                </w:p>
                <w:p>
                  <w:r>
                    <w:rPr>
                      <w:sz w:val="24"/>
                    </w:rPr>
                    <w:t>）</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1、型号规格：耳挂式17.5cm*9.5cm；</w:t>
                  </w:r>
                </w:p>
                <w:p>
                  <w:pPr>
                    <w:jc w:val="both"/>
                  </w:pPr>
                  <w:r>
                    <w:rPr>
                      <w:color w:val="2C3E50"/>
                      <w:sz w:val="24"/>
                    </w:rPr>
                    <w:t>2、合成血液穿透：2mL合成血以16.0kPa（120mmHg）压力喷向口罩外侧面后，口罩内侧不应出现渗透；</w:t>
                  </w:r>
                </w:p>
                <w:p>
                  <w:pPr>
                    <w:jc w:val="both"/>
                  </w:pPr>
                  <w:r>
                    <w:rPr>
                      <w:color w:val="2C3E50"/>
                      <w:sz w:val="24"/>
                    </w:rPr>
                    <w:t>▲3、过滤效率：口罩对非油性颗粒（PFE）的过滤效率应不小于30%；</w:t>
                  </w:r>
                </w:p>
                <w:p>
                  <w:pPr>
                    <w:jc w:val="both"/>
                  </w:pPr>
                  <w:r>
                    <w:rPr>
                      <w:color w:val="2C3E50"/>
                      <w:sz w:val="24"/>
                    </w:rPr>
                    <w:t>4、压力差（△P）：口罩两侧面进行气体交换的压力差△P应不大于49Pa；</w:t>
                  </w:r>
                </w:p>
                <w:p>
                  <w:pPr>
                    <w:jc w:val="both"/>
                  </w:pPr>
                  <w:r>
                    <w:rPr>
                      <w:color w:val="2C3E50"/>
                      <w:sz w:val="24"/>
                    </w:rPr>
                    <w:t>5、阻燃性能：口罩材料应采用不易燃材料，口罩离开火焰后燃烧不大于5s；</w:t>
                  </w:r>
                </w:p>
                <w:p>
                  <w:pPr>
                    <w:jc w:val="both"/>
                  </w:pPr>
                  <w:r>
                    <w:rPr>
                      <w:color w:val="2C3E50"/>
                      <w:sz w:val="24"/>
                    </w:rPr>
                    <w:t>6、需符合YY 0469-2011标准。</w:t>
                  </w:r>
                </w:p>
                <w:p>
                  <w:pPr>
                    <w:jc w:val="both"/>
                  </w:pPr>
                  <w:r>
                    <w:rPr>
                      <w:color w:val="2C3E50"/>
                      <w:sz w:val="24"/>
                    </w:rPr>
                    <w:t>7、无菌：产品经环氧乙烷灭菌，应无菌；</w:t>
                  </w:r>
                </w:p>
                <w:p>
                  <w:pPr>
                    <w:jc w:val="both"/>
                  </w:pPr>
                  <w:r>
                    <w:rPr>
                      <w:color w:val="2C3E50"/>
                      <w:sz w:val="24"/>
                    </w:rPr>
                    <w:t>8、环氧乙烷残留量：环氧乙烷的残留量应不超过10μg/g；</w:t>
                  </w:r>
                </w:p>
                <w:p>
                  <w:pPr>
                    <w:jc w:val="both"/>
                  </w:pPr>
                  <w:r>
                    <w:rPr>
                      <w:color w:val="2C3E50"/>
                      <w:sz w:val="24"/>
                    </w:rPr>
                    <w:t>9、每个口罩需为独立包装。</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片</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0.50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4</w:t>
                  </w:r>
                </w:p>
              </w:tc>
              <w:tc>
                <w:tcPr>
                  <w:tcW w:type="dxa" w:w="840"/>
                  <w:tcBorders>
                    <w:top w:val="none" w:color="000000" w:sz="4"/>
                    <w:left w:val="none" w:color="000000" w:sz="4"/>
                    <w:bottom w:val="single" w:color="000000" w:sz="4"/>
                    <w:right w:val="single" w:color="000000" w:sz="4"/>
                  </w:tcBorders>
                  <w:vAlign w:val="top"/>
                </w:tcPr>
                <w:p>
                  <w:pPr>
                    <w:jc w:val="both"/>
                  </w:pPr>
                  <w:r>
                    <w:rPr>
                      <w:sz w:val="24"/>
                    </w:rPr>
                    <w:t>N95医用防护口罩（绿色折叠式）</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技术参数要求：</w:t>
                  </w:r>
                </w:p>
                <w:p>
                  <w:pPr>
                    <w:jc w:val="both"/>
                  </w:pPr>
                  <w:r>
                    <w:rPr>
                      <w:color w:val="2C3E50"/>
                      <w:sz w:val="24"/>
                    </w:rPr>
                    <w:t>1.产品要求符合GB19083-2010标准。</w:t>
                  </w:r>
                </w:p>
                <w:p>
                  <w:pPr>
                    <w:jc w:val="both"/>
                  </w:pPr>
                  <w:r>
                    <w:rPr>
                      <w:color w:val="2C3E50"/>
                      <w:sz w:val="24"/>
                    </w:rPr>
                    <w:t>2.基本要求：口罩应覆盖佩戴者的口鼻部，应有良好的面部密合性，表面不得有破损、污渍，不应有呼气阀。</w:t>
                  </w:r>
                </w:p>
                <w:p>
                  <w:pPr>
                    <w:jc w:val="both"/>
                  </w:pPr>
                  <w:r>
                    <w:rPr>
                      <w:color w:val="2C3E50"/>
                      <w:sz w:val="24"/>
                    </w:rPr>
                    <w:t>3.鼻夹：口罩上应配有鼻夹。鼻夹由可塑性材料制成。鼻夹应具有可调节性。</w:t>
                  </w:r>
                </w:p>
                <w:p>
                  <w:pPr>
                    <w:jc w:val="both"/>
                  </w:pPr>
                  <w:r>
                    <w:rPr>
                      <w:color w:val="2C3E50"/>
                      <w:sz w:val="24"/>
                    </w:rPr>
                    <w:t>4.口罩带：口罩带应调节方便。应有足够强度固定口罩位置。每根口罩带与口罩体连接点的断裂强力应不小于10N。</w:t>
                  </w:r>
                </w:p>
                <w:p>
                  <w:pPr>
                    <w:jc w:val="both"/>
                  </w:pPr>
                  <w:r>
                    <w:rPr>
                      <w:color w:val="2C3E50"/>
                      <w:sz w:val="24"/>
                    </w:rPr>
                    <w:t>▲5.气流阻力：在气体流量为85L/min情况下，口罩的吸气阻力不得超过343.2Pa。</w:t>
                  </w:r>
                </w:p>
                <w:p>
                  <w:pPr>
                    <w:jc w:val="both"/>
                  </w:pPr>
                  <w:r>
                    <w:rPr>
                      <w:color w:val="2C3E50"/>
                      <w:sz w:val="24"/>
                    </w:rPr>
                    <w:t>6. 阻燃性能：口罩材料应不易燃，续燃时间应不超过5s。</w:t>
                  </w:r>
                </w:p>
                <w:p>
                  <w:pPr>
                    <w:jc w:val="both"/>
                  </w:pPr>
                  <w:r>
                    <w:rPr>
                      <w:color w:val="2C3E50"/>
                      <w:sz w:val="24"/>
                    </w:rPr>
                    <w:t>7.无菌：产品经环氧乙烷灭菌，应无菌。</w:t>
                  </w:r>
                </w:p>
                <w:p>
                  <w:pPr>
                    <w:jc w:val="both"/>
                  </w:pPr>
                  <w:r>
                    <w:rPr>
                      <w:color w:val="2C3E50"/>
                      <w:sz w:val="24"/>
                    </w:rPr>
                    <w:t>8.环氧乙烷残留量：环氧乙烷的残留量应不超过10μg/g。</w:t>
                  </w:r>
                </w:p>
                <w:p>
                  <w:pPr>
                    <w:jc w:val="both"/>
                  </w:pPr>
                  <w:r>
                    <w:rPr>
                      <w:color w:val="2C3E50"/>
                      <w:sz w:val="24"/>
                    </w:rPr>
                    <w:t>9.每个口罩需为独立包装。</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片</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6.9</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5</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医用一次性防护服</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1、标准：符合GB19082-2009《医用一次性技术文件》；</w:t>
                  </w:r>
                </w:p>
                <w:p>
                  <w:pPr>
                    <w:jc w:val="both"/>
                  </w:pPr>
                  <w:r>
                    <w:rPr>
                      <w:color w:val="2C3E50"/>
                      <w:sz w:val="24"/>
                    </w:rPr>
                    <w:t>2、抗渗水性：≥15KPa,经受此压力不穿透；</w:t>
                  </w:r>
                </w:p>
                <w:p>
                  <w:pPr>
                    <w:jc w:val="both"/>
                  </w:pPr>
                  <w:r>
                    <w:rPr>
                      <w:color w:val="2C3E50"/>
                      <w:sz w:val="24"/>
                    </w:rPr>
                    <w:t>3、表面抗湿性：不低于3级</w:t>
                  </w:r>
                </w:p>
                <w:p>
                  <w:pPr>
                    <w:jc w:val="both"/>
                  </w:pPr>
                  <w:r>
                    <w:rPr>
                      <w:color w:val="2C3E50"/>
                      <w:sz w:val="24"/>
                    </w:rPr>
                    <w:t>4、抗合成血液穿透：不低于6级；</w:t>
                  </w:r>
                </w:p>
                <w:p>
                  <w:pPr>
                    <w:jc w:val="both"/>
                  </w:pPr>
                  <w:r>
                    <w:rPr>
                      <w:color w:val="2C3E50"/>
                      <w:sz w:val="24"/>
                    </w:rPr>
                    <w:t>▲5、透湿量：保证产品透气，不低于6700（g/（㎡.d）；</w:t>
                  </w:r>
                </w:p>
                <w:p>
                  <w:pPr>
                    <w:jc w:val="both"/>
                  </w:pPr>
                  <w:r>
                    <w:rPr>
                      <w:color w:val="2C3E50"/>
                      <w:sz w:val="24"/>
                    </w:rPr>
                    <w:t>6、抗静电：带电电荷量不大于0.5uC/件；</w:t>
                  </w:r>
                </w:p>
                <w:p>
                  <w:pPr>
                    <w:jc w:val="both"/>
                  </w:pPr>
                  <w:r>
                    <w:rPr>
                      <w:color w:val="2C3E50"/>
                      <w:sz w:val="24"/>
                    </w:rPr>
                    <w:t>7、断裂强力纵向：不低于110N，断裂强力横向：不低于45N；                                                                   8、断裂伸长率：不低于50%  ；</w:t>
                  </w:r>
                </w:p>
                <w:p>
                  <w:pPr>
                    <w:jc w:val="both"/>
                  </w:pPr>
                  <w:r>
                    <w:rPr>
                      <w:color w:val="2C3E50"/>
                      <w:sz w:val="24"/>
                    </w:rPr>
                    <w:t>9、为保证产品安全、可靠，关键部分过滤效率为95%以上 ；</w:t>
                  </w:r>
                </w:p>
                <w:p>
                  <w:pPr>
                    <w:jc w:val="both"/>
                  </w:pPr>
                  <w:r>
                    <w:rPr>
                      <w:color w:val="2C3E50"/>
                      <w:sz w:val="24"/>
                    </w:rPr>
                    <w:t>10、款式要求：连帽上衣、裤子组成，接缝处外压蓝色胶条，前胸及颈部双面胶自粘门襟设计，帽口、袖口采用弹性设计；</w:t>
                  </w:r>
                </w:p>
                <w:p>
                  <w:pPr>
                    <w:jc w:val="both"/>
                  </w:pPr>
                  <w:r>
                    <w:rPr>
                      <w:color w:val="2C3E50"/>
                      <w:sz w:val="24"/>
                    </w:rPr>
                    <w:t>▲11、产品无菌，需灭菌，灭菌方式为环氧乙烷灭菌，环氧乙烷残留量为≦10 ；</w:t>
                  </w:r>
                </w:p>
                <w:p>
                  <w:pPr>
                    <w:jc w:val="both"/>
                  </w:pPr>
                  <w:r>
                    <w:rPr>
                      <w:color w:val="2C3E50"/>
                      <w:sz w:val="24"/>
                    </w:rPr>
                    <w:t>12、为保证产品安全、可靠，关键部分过滤效率为95%以上。</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套</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58</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6</w:t>
                  </w:r>
                </w:p>
              </w:tc>
              <w:tc>
                <w:tcPr>
                  <w:tcW w:type="dxa" w:w="840"/>
                  <w:tcBorders>
                    <w:top w:val="none" w:color="000000" w:sz="4"/>
                    <w:left w:val="none" w:color="000000" w:sz="4"/>
                    <w:bottom w:val="single" w:color="000000" w:sz="4"/>
                    <w:right w:val="single" w:color="000000" w:sz="4"/>
                  </w:tcBorders>
                  <w:vAlign w:val="top"/>
                </w:tcPr>
                <w:p>
                  <w:pPr>
                    <w:jc w:val="both"/>
                  </w:pPr>
                  <w:r>
                    <w:rPr>
                      <w:sz w:val="24"/>
                    </w:rPr>
                    <w:t>免洗手消毒凝胶（</w:t>
                  </w:r>
                  <w:r>
                    <w:rPr>
                      <w:sz w:val="24"/>
                    </w:rPr>
                    <w:t>500ml）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1、规格：平均装量≥500ML；最低装量≥485ml；</w:t>
                  </w:r>
                </w:p>
                <w:p>
                  <w:pPr>
                    <w:jc w:val="both"/>
                  </w:pPr>
                  <w:r>
                    <w:rPr>
                      <w:color w:val="2C3E50"/>
                      <w:sz w:val="24"/>
                    </w:rPr>
                    <w:t>2、剂型：凝胶；</w:t>
                  </w:r>
                </w:p>
                <w:p>
                  <w:pPr>
                    <w:jc w:val="both"/>
                  </w:pPr>
                  <w:r>
                    <w:rPr>
                      <w:color w:val="2C3E50"/>
                      <w:sz w:val="24"/>
                    </w:rPr>
                    <w:t>3、性状：无色澄明胶体，具醇类固有的气味；</w:t>
                  </w:r>
                </w:p>
                <w:p>
                  <w:pPr>
                    <w:jc w:val="both"/>
                  </w:pPr>
                  <w:r>
                    <w:rPr>
                      <w:color w:val="2C3E50"/>
                      <w:sz w:val="24"/>
                    </w:rPr>
                    <w:t>4、包装密封性：包装瓶、瓶盖或出液泵应完好，不漏液。</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瓶</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30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7</w:t>
                  </w:r>
                </w:p>
              </w:tc>
              <w:tc>
                <w:tcPr>
                  <w:tcW w:type="dxa" w:w="840"/>
                  <w:tcBorders>
                    <w:top w:val="none" w:color="000000" w:sz="4"/>
                    <w:left w:val="none" w:color="000000" w:sz="4"/>
                    <w:bottom w:val="single" w:color="000000" w:sz="4"/>
                    <w:right w:val="single" w:color="000000" w:sz="4"/>
                  </w:tcBorders>
                  <w:vAlign w:val="top"/>
                </w:tcPr>
                <w:p>
                  <w:pPr>
                    <w:jc w:val="both"/>
                  </w:pPr>
                  <w:r>
                    <w:rPr>
                      <w:sz w:val="24"/>
                    </w:rPr>
                    <w:t>免洗手消毒凝胶（</w:t>
                  </w:r>
                  <w:r>
                    <w:rPr>
                      <w:sz w:val="24"/>
                    </w:rPr>
                    <w:t>100ml）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1、规格：平均装量≥100ML；最低装量≥85ml；</w:t>
                  </w:r>
                </w:p>
                <w:p>
                  <w:pPr>
                    <w:jc w:val="both"/>
                  </w:pPr>
                  <w:r>
                    <w:rPr>
                      <w:color w:val="2C3E50"/>
                      <w:sz w:val="24"/>
                    </w:rPr>
                    <w:t>2、剂型：凝胶；</w:t>
                  </w:r>
                </w:p>
                <w:p>
                  <w:pPr>
                    <w:jc w:val="both"/>
                  </w:pPr>
                  <w:r>
                    <w:rPr>
                      <w:color w:val="2C3E50"/>
                      <w:sz w:val="24"/>
                    </w:rPr>
                    <w:t>3、性状：无色澄明胶体，具醇类固有的气味；</w:t>
                  </w:r>
                </w:p>
                <w:p>
                  <w:pPr>
                    <w:jc w:val="both"/>
                  </w:pPr>
                  <w:r>
                    <w:rPr>
                      <w:color w:val="2C3E50"/>
                      <w:sz w:val="24"/>
                    </w:rPr>
                    <w:t>4、包装密封性：包装瓶、瓶盖或出液泵应完好，不漏液。</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瓶</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5.5</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8</w:t>
                  </w:r>
                </w:p>
              </w:tc>
              <w:tc>
                <w:tcPr>
                  <w:tcW w:type="dxa" w:w="840"/>
                  <w:tcBorders>
                    <w:top w:val="none" w:color="000000" w:sz="4"/>
                    <w:left w:val="none" w:color="000000" w:sz="4"/>
                    <w:bottom w:val="single" w:color="000000" w:sz="4"/>
                    <w:right w:val="single" w:color="000000" w:sz="4"/>
                  </w:tcBorders>
                  <w:vAlign w:val="top"/>
                </w:tcPr>
                <w:p>
                  <w:pPr>
                    <w:jc w:val="both"/>
                  </w:pPr>
                  <w:r>
                    <w:rPr>
                      <w:sz w:val="24"/>
                    </w:rPr>
                    <w:t>75%酒精</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1、乙醇含量：70%-80%；</w:t>
                  </w:r>
                </w:p>
                <w:p>
                  <w:pPr>
                    <w:jc w:val="both"/>
                  </w:pPr>
                  <w:r>
                    <w:rPr>
                      <w:color w:val="2C3E50"/>
                      <w:sz w:val="24"/>
                    </w:rPr>
                    <w:t>▲2、稳定性：产品有效期24个月，有效期内乙醇含量下降10%；</w:t>
                  </w:r>
                </w:p>
                <w:p>
                  <w:pPr>
                    <w:jc w:val="both"/>
                  </w:pPr>
                  <w:r>
                    <w:rPr>
                      <w:color w:val="2C3E50"/>
                      <w:sz w:val="24"/>
                    </w:rPr>
                    <w:t>3、容量≥100ml；</w:t>
                  </w:r>
                </w:p>
                <w:p>
                  <w:pPr>
                    <w:jc w:val="both"/>
                  </w:pPr>
                  <w:r>
                    <w:rPr>
                      <w:color w:val="2C3E50"/>
                      <w:sz w:val="24"/>
                    </w:rPr>
                    <w:t>4、净含量：500ml；</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瓶</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9</w:t>
                  </w:r>
                </w:p>
              </w:tc>
              <w:tc>
                <w:tcPr>
                  <w:tcW w:type="dxa" w:w="840"/>
                  <w:tcBorders>
                    <w:top w:val="none" w:color="000000" w:sz="4"/>
                    <w:left w:val="none" w:color="000000" w:sz="4"/>
                    <w:bottom w:val="single" w:color="000000" w:sz="4"/>
                    <w:right w:val="single" w:color="000000" w:sz="4"/>
                  </w:tcBorders>
                  <w:vAlign w:val="top"/>
                </w:tcPr>
                <w:p>
                  <w:pPr>
                    <w:jc w:val="both"/>
                  </w:pPr>
                  <w:r>
                    <w:rPr>
                      <w:sz w:val="24"/>
                    </w:rPr>
                    <w:t>75%酒精</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1、乙醇含量：70%-80%；</w:t>
                  </w:r>
                </w:p>
                <w:p>
                  <w:pPr>
                    <w:jc w:val="both"/>
                  </w:pPr>
                  <w:r>
                    <w:rPr>
                      <w:color w:val="2C3E50"/>
                      <w:sz w:val="24"/>
                    </w:rPr>
                    <w:t>▲2、稳定性：产品有效期24个月，有效期内乙醇含量下降10%；</w:t>
                  </w:r>
                </w:p>
                <w:p>
                  <w:pPr>
                    <w:jc w:val="both"/>
                  </w:pPr>
                  <w:r>
                    <w:rPr>
                      <w:color w:val="2C3E50"/>
                      <w:sz w:val="24"/>
                    </w:rPr>
                    <w:t>3、容量≥100ml；</w:t>
                  </w:r>
                </w:p>
                <w:p>
                  <w:pPr>
                    <w:jc w:val="both"/>
                  </w:pPr>
                  <w:r>
                    <w:rPr>
                      <w:color w:val="2C3E50"/>
                      <w:sz w:val="24"/>
                    </w:rPr>
                    <w:t>4、净含量：100ml；</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瓶</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5</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10</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医用检查橡胶外科手套（</w:t>
                  </w:r>
                  <w:r>
                    <w:rPr>
                      <w:sz w:val="24"/>
                    </w:rPr>
                    <w:t>S码）</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1、外观：表面应平整洁净，不应有污渍、黄斑、破损等缺陷。</w:t>
                  </w:r>
                </w:p>
                <w:p>
                  <w:pPr>
                    <w:jc w:val="both"/>
                  </w:pPr>
                  <w:r>
                    <w:rPr>
                      <w:color w:val="2C3E50"/>
                      <w:sz w:val="24"/>
                    </w:rPr>
                    <w:t>▲2、老化前的扯断力和扯断伸长率：老化前扯断力的最小值为7.0N；老化前扯断伸长率的最小值为650%；</w:t>
                  </w:r>
                </w:p>
                <w:p>
                  <w:pPr>
                    <w:jc w:val="both"/>
                  </w:pPr>
                  <w:r>
                    <w:rPr>
                      <w:color w:val="2C3E50"/>
                      <w:sz w:val="24"/>
                    </w:rPr>
                    <w:t>3、老化后的扯断力和扯断伸长率：老化后扯断力的最小值为6.0N；老化后扯断伸长率的最小值为500%；</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对</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3.2</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11</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医用检查橡胶外科手套（</w:t>
                  </w:r>
                  <w:r>
                    <w:rPr>
                      <w:sz w:val="24"/>
                    </w:rPr>
                    <w:t>M码）</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1、外观：表面应平整洁净，不应有污渍、黄斑、破损等缺陷。</w:t>
                  </w:r>
                </w:p>
                <w:p>
                  <w:pPr>
                    <w:jc w:val="both"/>
                  </w:pPr>
                  <w:r>
                    <w:rPr>
                      <w:color w:val="2C3E50"/>
                      <w:sz w:val="24"/>
                    </w:rPr>
                    <w:t>▲2、老化前的扯断力和扯断伸长率：老化前扯断力的最小值为7.0N；老化前扯断伸长率的最小值为650%；</w:t>
                  </w:r>
                </w:p>
                <w:p>
                  <w:pPr>
                    <w:jc w:val="both"/>
                  </w:pPr>
                  <w:r>
                    <w:rPr>
                      <w:color w:val="2C3E50"/>
                      <w:sz w:val="24"/>
                    </w:rPr>
                    <w:t>3、老化后的扯断力和扯断伸长率：老化后扯断力的最小值为6.0N；老化后扯断伸长率的最小值为500%；</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对</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3.2</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12</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医用检查橡胶外科手套（</w:t>
                  </w:r>
                  <w:r>
                    <w:rPr>
                      <w:sz w:val="24"/>
                    </w:rPr>
                    <w:t>L码）</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1、外观：表面应平整洁净，不应有污渍、黄斑、破损等缺陷。</w:t>
                  </w:r>
                </w:p>
                <w:p>
                  <w:pPr>
                    <w:jc w:val="both"/>
                  </w:pPr>
                  <w:r>
                    <w:rPr>
                      <w:color w:val="2C3E50"/>
                      <w:sz w:val="24"/>
                    </w:rPr>
                    <w:t>▲2、老化前的扯断力和扯断伸长率：老化前扯断力的最小值为7.0N；老化前扯断伸长率的最小值为650%；</w:t>
                  </w:r>
                </w:p>
                <w:p>
                  <w:pPr>
                    <w:jc w:val="both"/>
                  </w:pPr>
                  <w:r>
                    <w:rPr>
                      <w:color w:val="2C3E50"/>
                      <w:sz w:val="24"/>
                    </w:rPr>
                    <w:t>3、老化后的扯断力和扯断伸长率：老化后扯断力的最小值为6.0N；老化后扯断伸长率的最小值为500%；</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对</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3.2</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13</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医用隔离面屏</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1.产品由高分子材料制成的防护面罩和固定装置组成；</w:t>
                  </w:r>
                </w:p>
                <w:p>
                  <w:pPr>
                    <w:jc w:val="both"/>
                  </w:pPr>
                  <w:r>
                    <w:rPr>
                      <w:color w:val="2C3E50"/>
                      <w:sz w:val="24"/>
                    </w:rPr>
                    <w:t>2.外观：表面光滑、无毛刺、无棱角或可能致使眼部不舒适感的其他缺陷；</w:t>
                  </w:r>
                </w:p>
                <w:p>
                  <w:pPr>
                    <w:jc w:val="both"/>
                  </w:pPr>
                  <w:r>
                    <w:rPr>
                      <w:color w:val="2C3E50"/>
                      <w:sz w:val="24"/>
                    </w:rPr>
                    <w:t>3.镜片应足够透明，正常视力通过镜片应清晰可见他物；</w:t>
                  </w:r>
                </w:p>
                <w:p>
                  <w:pPr>
                    <w:jc w:val="both"/>
                  </w:pPr>
                  <w:r>
                    <w:rPr>
                      <w:color w:val="2C3E50"/>
                      <w:sz w:val="24"/>
                    </w:rPr>
                    <w:t>3.阻隔体液、血液飞溅或泼溅。</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片</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2.9</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14</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医用隔离眼罩</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1.阻隔体液、血液飞溅或泼溅、防飞沫、防雾气、高透光、高清晰；</w:t>
                  </w:r>
                </w:p>
                <w:p>
                  <w:pPr>
                    <w:jc w:val="both"/>
                  </w:pPr>
                  <w:r>
                    <w:rPr>
                      <w:color w:val="2C3E50"/>
                      <w:sz w:val="24"/>
                    </w:rPr>
                    <w:t>2.外观：表面光滑、无毛刺、无棱角或可能致使眼部不舒适感的其他缺陷；</w:t>
                  </w:r>
                </w:p>
                <w:p>
                  <w:pPr>
                    <w:jc w:val="both"/>
                  </w:pPr>
                  <w:r>
                    <w:rPr>
                      <w:color w:val="2C3E50"/>
                      <w:sz w:val="24"/>
                    </w:rPr>
                    <w:t>3.可见透光射比不小于85%。</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副</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7</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15</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医用隔离衣</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1、外观：隔离衣应干燥、清洁、无霉斑，表面不允许有黏连、裂缝、孔洞等缺陷；</w:t>
                  </w:r>
                </w:p>
                <w:p>
                  <w:pPr>
                    <w:jc w:val="both"/>
                  </w:pPr>
                  <w:r>
                    <w:rPr>
                      <w:color w:val="2C3E50"/>
                      <w:sz w:val="24"/>
                    </w:rPr>
                    <w:t>▲2、隔离衣链接部位可采用针缝、粘合或热合等加工方式。针缝的针眼应密封处理，针距每3cm不少于8针，线迹应均匀、平直，不得有跳针。粘合或热合等加工处理后的部位，应平整、密封、无气泡；</w:t>
                  </w:r>
                </w:p>
                <w:p>
                  <w:pPr>
                    <w:numPr>
                      <w:ilvl w:val="0"/>
                      <w:numId w:val="2"/>
                    </w:numPr>
                    <w:jc w:val="both"/>
                  </w:pPr>
                  <w:r>
                    <w:rPr>
                      <w:color w:val="2C3E50"/>
                      <w:sz w:val="24"/>
                    </w:rPr>
                    <w:t>隔离衣性能要求：隔离衣所用非织造布的沾水等级应不低于GB/T4745-2012 中 3 级的规定，隔离衣所用非织造布的单位面积质量应不小于25g/m2。</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套</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10.4</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16</w:t>
                  </w:r>
                </w:p>
              </w:tc>
              <w:tc>
                <w:tcPr>
                  <w:tcW w:type="dxa" w:w="840"/>
                  <w:tcBorders>
                    <w:top w:val="none" w:color="000000" w:sz="4"/>
                    <w:left w:val="none" w:color="000000" w:sz="4"/>
                    <w:bottom w:val="single" w:color="000000" w:sz="4"/>
                    <w:right w:val="single" w:color="000000" w:sz="4"/>
                  </w:tcBorders>
                  <w:vAlign w:val="top"/>
                </w:tcPr>
                <w:p>
                  <w:pPr>
                    <w:jc w:val="both"/>
                  </w:pPr>
                  <w:r>
                    <w:rPr>
                      <w:sz w:val="24"/>
                    </w:rPr>
                    <w:t>一次性医用帽子</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1、由非织造布缝制或热合而成；</w:t>
                  </w:r>
                </w:p>
                <w:p>
                  <w:pPr>
                    <w:jc w:val="both"/>
                  </w:pPr>
                  <w:r>
                    <w:rPr>
                      <w:color w:val="2C3E50"/>
                      <w:sz w:val="24"/>
                    </w:rPr>
                    <w:t>2、帽子的外观应洁净、无杂质，不得有破洞，色泽均匀一致；</w:t>
                  </w:r>
                </w:p>
                <w:p>
                  <w:pPr>
                    <w:jc w:val="both"/>
                  </w:pPr>
                  <w:r>
                    <w:rPr>
                      <w:color w:val="2C3E50"/>
                      <w:sz w:val="24"/>
                    </w:rPr>
                    <w:t>3、帽子若缝制，缝制应牢固，针码均匀、平直、无跳针、漏缝等缺陷；帽子若热合，热合应牢固，成型整齐，平整无开裂；</w:t>
                  </w:r>
                </w:p>
                <w:p>
                  <w:pPr>
                    <w:jc w:val="both"/>
                  </w:pPr>
                  <w:r>
                    <w:rPr>
                      <w:color w:val="2C3E50"/>
                      <w:sz w:val="24"/>
                    </w:rPr>
                    <w:t>4、帽子应无菌；</w:t>
                  </w:r>
                </w:p>
                <w:p>
                  <w:pPr>
                    <w:jc w:val="both"/>
                  </w:pPr>
                  <w:r>
                    <w:rPr>
                      <w:color w:val="2C3E50"/>
                      <w:sz w:val="24"/>
                    </w:rPr>
                    <w:t>▲5、帽子环氧乙烷残留量应不大于10mg/kg；</w:t>
                  </w:r>
                </w:p>
                <w:p>
                  <w:pPr>
                    <w:jc w:val="both"/>
                  </w:pPr>
                  <w:r>
                    <w:rPr>
                      <w:color w:val="2C3E50"/>
                      <w:sz w:val="24"/>
                    </w:rPr>
                    <w:t>6、每顶帽子需为独立包装。</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顶</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0.6</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17</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医用隔离鞋套（长筒）</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1、颜色：透明、蓝色；</w:t>
                  </w:r>
                </w:p>
                <w:p>
                  <w:pPr>
                    <w:jc w:val="both"/>
                  </w:pPr>
                  <w:r>
                    <w:rPr>
                      <w:color w:val="2C3E50"/>
                      <w:sz w:val="24"/>
                    </w:rPr>
                    <w:t>2、外观：光滑无异物，无异味；</w:t>
                  </w:r>
                </w:p>
                <w:p>
                  <w:pPr>
                    <w:jc w:val="both"/>
                  </w:pPr>
                  <w:r>
                    <w:rPr>
                      <w:color w:val="2C3E50"/>
                      <w:sz w:val="24"/>
                    </w:rPr>
                    <w:t>3、密封性能：封口牢固、无破裂现象。</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对</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2.1</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18</w:t>
                  </w:r>
                </w:p>
              </w:tc>
              <w:tc>
                <w:tcPr>
                  <w:tcW w:type="dxa" w:w="840"/>
                  <w:tcBorders>
                    <w:top w:val="none" w:color="000000" w:sz="4"/>
                    <w:left w:val="none" w:color="000000" w:sz="4"/>
                    <w:bottom w:val="single" w:color="000000" w:sz="4"/>
                    <w:right w:val="single" w:color="000000" w:sz="4"/>
                  </w:tcBorders>
                  <w:vAlign w:val="top"/>
                </w:tcPr>
                <w:p>
                  <w:pPr>
                    <w:jc w:val="both"/>
                  </w:pPr>
                  <w:r>
                    <w:rPr>
                      <w:sz w:val="24"/>
                    </w:rPr>
                    <w:t>84消毒液</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▲1、成分及含量：有效氯含量3.70%-4.99%（W/V）；</w:t>
                  </w:r>
                </w:p>
                <w:p>
                  <w:pPr>
                    <w:jc w:val="both"/>
                  </w:pPr>
                  <w:r>
                    <w:rPr>
                      <w:color w:val="2C3E50"/>
                      <w:sz w:val="24"/>
                    </w:rPr>
                    <w:t>2、剂型：淡黄色液体；</w:t>
                  </w:r>
                </w:p>
                <w:p>
                  <w:pPr>
                    <w:jc w:val="both"/>
                  </w:pPr>
                  <w:r>
                    <w:rPr>
                      <w:color w:val="2C3E50"/>
                      <w:sz w:val="24"/>
                    </w:rPr>
                    <w:t>3、符合《消毒技术规范》(2002年版)的要求；</w:t>
                  </w:r>
                </w:p>
                <w:p>
                  <w:pPr>
                    <w:jc w:val="both"/>
                  </w:pPr>
                  <w:r>
                    <w:rPr>
                      <w:color w:val="2C3E50"/>
                      <w:sz w:val="24"/>
                    </w:rPr>
                    <w:t>4、符合GB27952-2011《普通物体表面消毒剂的卫生要求》的规定。</w:t>
                  </w:r>
                </w:p>
                <w:p>
                  <w:pPr>
                    <w:jc w:val="both"/>
                  </w:pPr>
                  <w:r>
                    <w:rPr>
                      <w:sz w:val="24"/>
                    </w:rPr>
                    <w:t>5.容量为：500mL/瓶。</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瓶</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4</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19</w:t>
                  </w:r>
                </w:p>
              </w:tc>
              <w:tc>
                <w:tcPr>
                  <w:tcW w:type="dxa" w:w="840"/>
                  <w:tcBorders>
                    <w:top w:val="none" w:color="000000" w:sz="4"/>
                    <w:left w:val="none" w:color="000000" w:sz="4"/>
                    <w:bottom w:val="single" w:color="000000" w:sz="4"/>
                    <w:right w:val="single" w:color="000000" w:sz="4"/>
                  </w:tcBorders>
                  <w:vAlign w:val="top"/>
                </w:tcPr>
                <w:p>
                  <w:pPr>
                    <w:jc w:val="both"/>
                  </w:pPr>
                  <w:r>
                    <w:rPr>
                      <w:sz w:val="24"/>
                    </w:rPr>
                    <w:t>消毒泡腾片</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1.1g/片，100g/瓶</w:t>
                  </w:r>
                </w:p>
                <w:p>
                  <w:r>
                    <w:rPr>
                      <w:color w:val="2C3E50"/>
                      <w:sz w:val="24"/>
                    </w:rPr>
                    <w:t>2</w:t>
                  </w:r>
                  <w:r>
                    <w:rPr>
                      <w:color w:val="2C3E50"/>
                      <w:sz w:val="24"/>
                    </w:rPr>
                    <w:t>、白色或淡黄色片剂</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片</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0.2</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20</w:t>
                  </w:r>
                </w:p>
              </w:tc>
              <w:tc>
                <w:tcPr>
                  <w:tcW w:type="dxa" w:w="840"/>
                  <w:tcBorders>
                    <w:top w:val="none" w:color="000000" w:sz="4"/>
                    <w:left w:val="none" w:color="000000" w:sz="4"/>
                    <w:bottom w:val="single" w:color="000000" w:sz="4"/>
                    <w:right w:val="single" w:color="000000" w:sz="4"/>
                  </w:tcBorders>
                  <w:vAlign w:val="top"/>
                </w:tcPr>
                <w:p>
                  <w:pPr>
                    <w:jc w:val="both"/>
                  </w:pPr>
                  <w:r>
                    <w:rPr>
                      <w:sz w:val="24"/>
                    </w:rPr>
                    <w:t>消毒粉</w:t>
                  </w:r>
                </w:p>
              </w:tc>
              <w:tc>
                <w:tcPr>
                  <w:tcW w:type="dxa" w:w="2718"/>
                  <w:tcBorders>
                    <w:top w:val="none" w:color="000000" w:sz="4"/>
                    <w:left w:val="none" w:color="000000" w:sz="4"/>
                    <w:bottom w:val="single" w:color="000000" w:sz="4"/>
                    <w:right w:val="single" w:color="000000" w:sz="4"/>
                  </w:tcBorders>
                  <w:vAlign w:val="top"/>
                </w:tcPr>
                <w:p>
                  <w:pPr>
                    <w:numPr>
                      <w:ilvl w:val="0"/>
                      <w:numId w:val="1"/>
                    </w:numPr>
                    <w:jc w:val="both"/>
                  </w:pPr>
                  <w:r>
                    <w:rPr>
                      <w:color w:val="2C3E50"/>
                      <w:sz w:val="24"/>
                    </w:rPr>
                    <w:t>有效氯含量  12%</w:t>
                  </w:r>
                </w:p>
                <w:p>
                  <w:r>
                    <w:rPr>
                      <w:color w:val="2C3E50"/>
                      <w:sz w:val="24"/>
                    </w:rPr>
                    <w:t>2.气味：氯气味</w:t>
                  </w:r>
                </w:p>
                <w:p>
                  <w:r>
                    <w:rPr>
                      <w:color w:val="2C3E50"/>
                      <w:sz w:val="24"/>
                    </w:rPr>
                    <w:t>3、白色粉剂</w:t>
                  </w:r>
                </w:p>
                <w:p>
                  <w:r>
                    <w:rPr>
                      <w:color w:val="2C3E50"/>
                      <w:sz w:val="24"/>
                    </w:rPr>
                    <w:t>4.400g/袋</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袋</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21</w:t>
                  </w:r>
                </w:p>
              </w:tc>
              <w:tc>
                <w:tcPr>
                  <w:tcW w:type="dxa" w:w="840"/>
                  <w:tcBorders>
                    <w:top w:val="none" w:color="000000" w:sz="4"/>
                    <w:left w:val="none" w:color="000000" w:sz="4"/>
                    <w:bottom w:val="single" w:color="000000" w:sz="4"/>
                    <w:right w:val="single" w:color="000000" w:sz="4"/>
                  </w:tcBorders>
                  <w:vAlign w:val="top"/>
                </w:tcPr>
                <w:p>
                  <w:pPr>
                    <w:jc w:val="both"/>
                  </w:pPr>
                  <w:r>
                    <w:rPr>
                      <w:sz w:val="24"/>
                    </w:rPr>
                    <w:t>紫外线能灯</w:t>
                  </w:r>
                  <w:r>
                    <w:rPr>
                      <w:sz w:val="24"/>
                    </w:rPr>
                    <w:t>90cm</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1、灯的设计及结构、性能应使其在正常使用中性能可靠，对使用者和周围环境不产生危险；</w:t>
                  </w:r>
                </w:p>
                <w:p>
                  <w:pPr>
                    <w:jc w:val="both"/>
                  </w:pPr>
                  <w:r>
                    <w:rPr>
                      <w:color w:val="2C3E50"/>
                      <w:sz w:val="24"/>
                    </w:rPr>
                    <w:t>2、灯的玻管应透明、洁净、平直，不应有影响紫外线透过的缺陷。</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台</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28</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22</w:t>
                  </w:r>
                </w:p>
              </w:tc>
              <w:tc>
                <w:tcPr>
                  <w:tcW w:type="dxa" w:w="840"/>
                  <w:tcBorders>
                    <w:top w:val="none" w:color="000000" w:sz="4"/>
                    <w:left w:val="none" w:color="000000" w:sz="4"/>
                    <w:bottom w:val="single" w:color="000000" w:sz="4"/>
                    <w:right w:val="single" w:color="000000" w:sz="4"/>
                  </w:tcBorders>
                  <w:vAlign w:val="top"/>
                </w:tcPr>
                <w:p>
                  <w:pPr>
                    <w:jc w:val="both"/>
                  </w:pPr>
                  <w:r>
                    <w:rPr>
                      <w:sz w:val="24"/>
                    </w:rPr>
                    <w:t>紫外线能灯</w:t>
                  </w:r>
                  <w:r>
                    <w:rPr>
                      <w:sz w:val="24"/>
                    </w:rPr>
                    <w:t>120cm</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1、灯的设计及结构、性能应使其在正常使用中性能可靠，对使用者和周围环境不产生危险；</w:t>
                  </w:r>
                </w:p>
                <w:p>
                  <w:pPr>
                    <w:jc w:val="both"/>
                  </w:pPr>
                  <w:r>
                    <w:rPr>
                      <w:color w:val="2C3E50"/>
                      <w:sz w:val="24"/>
                    </w:rPr>
                    <w:t>2、灯的玻管应透明、洁净、平直，不应有影响紫外线透过的缺陷。</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台</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38</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23</w:t>
                  </w:r>
                </w:p>
              </w:tc>
              <w:tc>
                <w:tcPr>
                  <w:tcW w:type="dxa" w:w="840"/>
                  <w:tcBorders>
                    <w:top w:val="none" w:color="000000" w:sz="4"/>
                    <w:left w:val="none" w:color="000000" w:sz="4"/>
                    <w:bottom w:val="single" w:color="000000" w:sz="4"/>
                    <w:right w:val="single" w:color="000000" w:sz="4"/>
                  </w:tcBorders>
                  <w:vAlign w:val="top"/>
                </w:tcPr>
                <w:p>
                  <w:pPr>
                    <w:jc w:val="both"/>
                  </w:pPr>
                  <w:r>
                    <w:rPr>
                      <w:sz w:val="24"/>
                    </w:rPr>
                    <w:t>利器盒（圆形</w:t>
                  </w:r>
                  <w:r>
                    <w:rPr>
                      <w:sz w:val="24"/>
                    </w:rPr>
                    <w:t>1L）</w:t>
                  </w:r>
                </w:p>
              </w:tc>
              <w:tc>
                <w:tcPr>
                  <w:tcW w:type="dxa" w:w="2718"/>
                  <w:tcBorders>
                    <w:top w:val="none" w:color="000000" w:sz="4"/>
                    <w:left w:val="none" w:color="000000" w:sz="4"/>
                    <w:bottom w:val="single" w:color="000000" w:sz="4"/>
                    <w:right w:val="single" w:color="000000" w:sz="4"/>
                  </w:tcBorders>
                  <w:vAlign w:val="top"/>
                </w:tcPr>
                <w:p>
                  <w:pPr>
                    <w:numPr>
                      <w:ilvl w:val="0"/>
                      <w:numId w:val="1"/>
                    </w:numPr>
                    <w:jc w:val="both"/>
                  </w:pPr>
                  <w:r>
                    <w:rPr>
                      <w:color w:val="2C3E50"/>
                      <w:sz w:val="24"/>
                    </w:rPr>
                    <w:t>利器盒整体为硬质材料制成，能封闭且防刺穿，侧面明显处印制有直角菱形的警示标志。</w:t>
                  </w:r>
                </w:p>
                <w:p>
                  <w:r>
                    <w:rPr>
                      <w:color w:val="2C3E50"/>
                      <w:sz w:val="24"/>
                    </w:rPr>
                    <w:t>2</w:t>
                  </w:r>
                  <w:r>
                    <w:rPr>
                      <w:color w:val="2C3E50"/>
                      <w:sz w:val="24"/>
                    </w:rPr>
                    <w:t>、利器盒封口后在不破坏的情况下无法再次打开</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2.1</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24</w:t>
                  </w:r>
                </w:p>
              </w:tc>
              <w:tc>
                <w:tcPr>
                  <w:tcW w:type="dxa" w:w="840"/>
                  <w:tcBorders>
                    <w:top w:val="none" w:color="000000" w:sz="4"/>
                    <w:left w:val="none" w:color="000000" w:sz="4"/>
                    <w:bottom w:val="single" w:color="000000" w:sz="4"/>
                    <w:right w:val="single" w:color="000000" w:sz="4"/>
                  </w:tcBorders>
                  <w:vAlign w:val="top"/>
                </w:tcPr>
                <w:p>
                  <w:pPr>
                    <w:jc w:val="both"/>
                  </w:pPr>
                  <w:r>
                    <w:rPr>
                      <w:sz w:val="24"/>
                    </w:rPr>
                    <w:t>利器盒（圆形</w:t>
                  </w:r>
                  <w:r>
                    <w:rPr>
                      <w:sz w:val="24"/>
                    </w:rPr>
                    <w:t>2L）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1、利器盒整体为硬质材料制成，能封闭且防刺穿，侧面明显处印制有直角菱形的警示标志。</w:t>
                  </w:r>
                </w:p>
                <w:p>
                  <w:pPr>
                    <w:jc w:val="both"/>
                  </w:pPr>
                  <w:r>
                    <w:rPr>
                      <w:color w:val="2C3E50"/>
                      <w:sz w:val="24"/>
                    </w:rPr>
                    <w:t>2</w:t>
                  </w:r>
                  <w:r>
                    <w:rPr>
                      <w:color w:val="2C3E50"/>
                      <w:sz w:val="24"/>
                    </w:rPr>
                    <w:t>、利器盒封口后在不破坏的情况下无法再次打开</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2.9</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25</w:t>
                  </w:r>
                </w:p>
              </w:tc>
              <w:tc>
                <w:tcPr>
                  <w:tcW w:type="dxa" w:w="840"/>
                  <w:tcBorders>
                    <w:top w:val="none" w:color="000000" w:sz="4"/>
                    <w:left w:val="none" w:color="000000" w:sz="4"/>
                    <w:bottom w:val="single" w:color="000000" w:sz="4"/>
                    <w:right w:val="single" w:color="000000" w:sz="4"/>
                  </w:tcBorders>
                  <w:vAlign w:val="top"/>
                </w:tcPr>
                <w:p>
                  <w:pPr>
                    <w:jc w:val="both"/>
                  </w:pPr>
                  <w:r>
                    <w:rPr>
                      <w:sz w:val="24"/>
                    </w:rPr>
                    <w:t>利器盒（圆形</w:t>
                  </w:r>
                  <w:r>
                    <w:rPr>
                      <w:sz w:val="24"/>
                    </w:rPr>
                    <w:t>5L）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1、利器盒整体为硬质材料制成，能封闭且防刺穿，侧面明显处印制有直角菱形的警示标志。</w:t>
                  </w:r>
                </w:p>
                <w:p>
                  <w:pPr>
                    <w:jc w:val="both"/>
                  </w:pPr>
                  <w:r>
                    <w:rPr>
                      <w:color w:val="2C3E50"/>
                      <w:sz w:val="24"/>
                    </w:rPr>
                    <w:t>2</w:t>
                  </w:r>
                  <w:r>
                    <w:rPr>
                      <w:color w:val="2C3E50"/>
                      <w:sz w:val="24"/>
                    </w:rPr>
                    <w:t>、利器盒封口后在不破坏的情况下无法再次打开</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4.6</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26</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医疗垃圾袋</w:t>
                  </w:r>
                  <w:r>
                    <w:rPr>
                      <w:sz w:val="24"/>
                    </w:rPr>
                    <w:t>背心式</w:t>
                  </w:r>
                  <w:r>
                    <w:rPr>
                      <w:sz w:val="24"/>
                    </w:rPr>
                    <w:t>42*48</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1、材质PE；</w:t>
                  </w:r>
                </w:p>
                <w:p>
                  <w:pPr>
                    <w:jc w:val="both"/>
                  </w:pPr>
                  <w:r>
                    <w:rPr>
                      <w:color w:val="2C3E50"/>
                      <w:sz w:val="24"/>
                    </w:rPr>
                    <w:t>2、颜色为黄色。</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0.35</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27</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医疗垃圾袋</w:t>
                  </w:r>
                  <w:r>
                    <w:rPr>
                      <w:sz w:val="24"/>
                    </w:rPr>
                    <w:t>70*80cm</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1、材质PE；</w:t>
                  </w:r>
                </w:p>
                <w:p>
                  <w:pPr>
                    <w:jc w:val="both"/>
                  </w:pPr>
                  <w:r>
                    <w:rPr>
                      <w:color w:val="2C3E50"/>
                      <w:sz w:val="24"/>
                    </w:rPr>
                    <w:t>2、颜色为黄色。</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0.6</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28</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医疗垃圾袋</w:t>
                  </w:r>
                  <w:r>
                    <w:rPr>
                      <w:sz w:val="24"/>
                    </w:rPr>
                    <w:t>120*140cm</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1、材质PE；</w:t>
                  </w:r>
                </w:p>
                <w:p>
                  <w:pPr>
                    <w:jc w:val="both"/>
                  </w:pPr>
                  <w:r>
                    <w:rPr>
                      <w:color w:val="2C3E50"/>
                      <w:sz w:val="24"/>
                    </w:rPr>
                    <w:t>2、颜色为黄色。</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1.50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29</w:t>
                  </w:r>
                </w:p>
              </w:tc>
              <w:tc>
                <w:tcPr>
                  <w:tcW w:type="dxa" w:w="840"/>
                  <w:tcBorders>
                    <w:top w:val="none" w:color="000000" w:sz="4"/>
                    <w:left w:val="none" w:color="000000" w:sz="4"/>
                    <w:bottom w:val="single" w:color="000000" w:sz="4"/>
                    <w:right w:val="single" w:color="000000" w:sz="4"/>
                  </w:tcBorders>
                  <w:vAlign w:val="top"/>
                </w:tcPr>
                <w:p>
                  <w:pPr>
                    <w:jc w:val="both"/>
                  </w:pPr>
                  <w:r>
                    <w:rPr>
                      <w:sz w:val="24"/>
                    </w:rPr>
                    <w:t>脚踏垃圾桶</w:t>
                  </w:r>
                  <w:r>
                    <w:rPr>
                      <w:sz w:val="24"/>
                    </w:rPr>
                    <w:t xml:space="preserve"> </w:t>
                  </w:r>
                  <w:r>
                    <w:rPr>
                      <w:sz w:val="24"/>
                    </w:rPr>
                    <w:t>15L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1、医疗垃圾桶整体为硬质材料制成，相对密封，以保证医疗垃圾桶在正常使用的情况下，盒内盛装的锐利器具不撒漏，医疗垃圾桶一旦被封口，则无法在不破坏的情况下被轻易打开；</w:t>
                  </w:r>
                </w:p>
                <w:p>
                  <w:pPr>
                    <w:jc w:val="both"/>
                  </w:pPr>
                  <w:r>
                    <w:rPr>
                      <w:color w:val="2C3E50"/>
                      <w:sz w:val="24"/>
                    </w:rPr>
                    <w:t>2、医疗垃圾桶能防刺穿，其盛装的注射器针头、破碎玻璃片等锐利器具不能刺穿医疗垃圾桶。</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25</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30</w:t>
                  </w:r>
                </w:p>
              </w:tc>
              <w:tc>
                <w:tcPr>
                  <w:tcW w:type="dxa" w:w="840"/>
                  <w:tcBorders>
                    <w:top w:val="none" w:color="000000" w:sz="4"/>
                    <w:left w:val="none" w:color="000000" w:sz="4"/>
                    <w:bottom w:val="single" w:color="000000" w:sz="4"/>
                    <w:right w:val="single" w:color="000000" w:sz="4"/>
                  </w:tcBorders>
                  <w:vAlign w:val="top"/>
                </w:tcPr>
                <w:p>
                  <w:pPr>
                    <w:jc w:val="both"/>
                  </w:pPr>
                  <w:r>
                    <w:rPr>
                      <w:sz w:val="24"/>
                    </w:rPr>
                    <w:t>脚踏垃圾桶</w:t>
                  </w:r>
                  <w:r>
                    <w:rPr>
                      <w:sz w:val="24"/>
                    </w:rPr>
                    <w:t xml:space="preserve"> </w:t>
                  </w:r>
                  <w:r>
                    <w:rPr>
                      <w:sz w:val="24"/>
                    </w:rPr>
                    <w:t>100L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1、医疗垃圾桶整体为硬质材料制成，相对密封，以保证医疗垃圾桶在正常使用的情况下，盒内盛装的锐利器具不撒漏，医疗垃圾桶一旦被封口，则无法在不破坏的情况下被轻易打开；</w:t>
                  </w:r>
                </w:p>
                <w:p>
                  <w:pPr>
                    <w:jc w:val="both"/>
                  </w:pPr>
                  <w:r>
                    <w:rPr>
                      <w:color w:val="2C3E50"/>
                      <w:sz w:val="24"/>
                    </w:rPr>
                    <w:t>2、医疗垃圾桶能防刺穿，其盛装的注射器针头、破碎玻璃片等锐利器具不能刺穿医疗垃圾桶。</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120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31</w:t>
                  </w:r>
                </w:p>
              </w:tc>
              <w:tc>
                <w:tcPr>
                  <w:tcW w:type="dxa" w:w="840"/>
                  <w:tcBorders>
                    <w:top w:val="none" w:color="000000" w:sz="4"/>
                    <w:left w:val="none" w:color="000000" w:sz="4"/>
                    <w:bottom w:val="single" w:color="000000" w:sz="4"/>
                    <w:right w:val="single" w:color="000000" w:sz="4"/>
                  </w:tcBorders>
                  <w:vAlign w:val="top"/>
                </w:tcPr>
                <w:p>
                  <w:pPr>
                    <w:jc w:val="both"/>
                  </w:pPr>
                  <w:r>
                    <w:rPr>
                      <w:sz w:val="24"/>
                    </w:rPr>
                    <w:t>脚踏垃圾桶</w:t>
                  </w:r>
                  <w:r>
                    <w:rPr>
                      <w:sz w:val="24"/>
                    </w:rPr>
                    <w:t xml:space="preserve"> </w:t>
                  </w:r>
                  <w:r>
                    <w:rPr>
                      <w:sz w:val="24"/>
                    </w:rPr>
                    <w:t>120L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1、医疗垃圾桶整体为硬质材料制成，相对密封，以保证医疗垃圾桶在正常使用的情况下，盒内盛装的锐利器具不撒漏，医疗垃圾桶一旦被封口，则无法在不破坏的情况下被轻易打开；</w:t>
                  </w:r>
                </w:p>
                <w:p>
                  <w:pPr>
                    <w:jc w:val="both"/>
                  </w:pPr>
                  <w:r>
                    <w:rPr>
                      <w:color w:val="2C3E50"/>
                      <w:sz w:val="24"/>
                    </w:rPr>
                    <w:t>2、医疗垃圾桶能防刺穿，其盛装的注射器针头、破碎玻璃片等锐利器具不能刺穿医疗垃圾桶。</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130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32</w:t>
                  </w:r>
                </w:p>
              </w:tc>
              <w:tc>
                <w:tcPr>
                  <w:tcW w:type="dxa" w:w="840"/>
                  <w:tcBorders>
                    <w:top w:val="none" w:color="000000" w:sz="4"/>
                    <w:left w:val="none" w:color="000000" w:sz="4"/>
                    <w:bottom w:val="single" w:color="000000" w:sz="4"/>
                    <w:right w:val="single" w:color="000000" w:sz="4"/>
                  </w:tcBorders>
                  <w:vAlign w:val="top"/>
                </w:tcPr>
                <w:p>
                  <w:pPr>
                    <w:jc w:val="both"/>
                  </w:pPr>
                  <w:r>
                    <w:rPr>
                      <w:sz w:val="24"/>
                    </w:rPr>
                    <w:t>脚踏垃圾桶</w:t>
                  </w:r>
                  <w:r>
                    <w:rPr>
                      <w:sz w:val="24"/>
                    </w:rPr>
                    <w:t xml:space="preserve"> </w:t>
                  </w:r>
                  <w:r>
                    <w:rPr>
                      <w:sz w:val="24"/>
                    </w:rPr>
                    <w:t>240L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1、医疗垃圾桶整体为硬质材料制成，相对密封，以保证医疗垃圾桶在正常使用的情况下，盒内盛装的锐利器具不撒漏，医疗垃圾桶一旦被封口，则无法在不破坏的情况下被轻易打开；</w:t>
                  </w:r>
                </w:p>
                <w:p>
                  <w:pPr>
                    <w:jc w:val="both"/>
                  </w:pPr>
                  <w:r>
                    <w:rPr>
                      <w:color w:val="2C3E50"/>
                      <w:sz w:val="24"/>
                    </w:rPr>
                    <w:t>2、医疗垃圾桶能防刺穿，其盛装的注射器针头、破碎玻璃片等锐利器具不能刺穿医疗垃圾桶。</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150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33</w:t>
                  </w:r>
                </w:p>
              </w:tc>
              <w:tc>
                <w:tcPr>
                  <w:tcW w:type="dxa" w:w="840"/>
                  <w:tcBorders>
                    <w:top w:val="none" w:color="000000" w:sz="4"/>
                    <w:left w:val="none" w:color="000000" w:sz="4"/>
                    <w:bottom w:val="single" w:color="000000" w:sz="4"/>
                    <w:right w:val="single" w:color="000000" w:sz="4"/>
                  </w:tcBorders>
                  <w:vAlign w:val="top"/>
                </w:tcPr>
                <w:p>
                  <w:pPr>
                    <w:jc w:val="both"/>
                  </w:pPr>
                  <w:r>
                    <w:rPr>
                      <w:sz w:val="24"/>
                    </w:rPr>
                    <w:t>手持式红外线体温枪</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▲1.精确测量：测量偏差≤±0.3 度；</w:t>
                  </w:r>
                </w:p>
                <w:p>
                  <w:pPr>
                    <w:jc w:val="both"/>
                  </w:pPr>
                  <w:r>
                    <w:rPr>
                      <w:color w:val="2C3E50"/>
                      <w:sz w:val="24"/>
                    </w:rPr>
                    <w:t>2.快速测温：测量时间＜1 秒钟；</w:t>
                  </w:r>
                </w:p>
                <w:p>
                  <w:pPr>
                    <w:jc w:val="both"/>
                  </w:pPr>
                  <w:r>
                    <w:rPr>
                      <w:color w:val="2C3E50"/>
                      <w:sz w:val="24"/>
                    </w:rPr>
                    <w:t>3.易于使用：一键测量，操作方便；</w:t>
                  </w:r>
                </w:p>
                <w:p>
                  <w:pPr>
                    <w:jc w:val="both"/>
                  </w:pPr>
                  <w:r>
                    <w:rPr>
                      <w:color w:val="2C3E50"/>
                      <w:sz w:val="24"/>
                    </w:rPr>
                    <w:t>4.非接触性：对人体额头测量，不接触人体皮肤；</w:t>
                  </w:r>
                </w:p>
                <w:p>
                  <w:pPr>
                    <w:jc w:val="both"/>
                  </w:pPr>
                  <w:r>
                    <w:rPr>
                      <w:color w:val="2C3E50"/>
                      <w:sz w:val="24"/>
                    </w:rPr>
                    <w:t>5.测量距离：3-5cm；</w:t>
                  </w:r>
                </w:p>
                <w:p>
                  <w:pPr>
                    <w:jc w:val="both"/>
                  </w:pPr>
                  <w:r>
                    <w:rPr>
                      <w:color w:val="2C3E50"/>
                      <w:sz w:val="24"/>
                    </w:rPr>
                    <w:t>6.显示：液晶显示，任何光线都可以清晰显示；</w:t>
                  </w:r>
                </w:p>
                <w:p>
                  <w:pPr>
                    <w:jc w:val="both"/>
                  </w:pPr>
                  <w:r>
                    <w:rPr>
                      <w:color w:val="2C3E50"/>
                      <w:sz w:val="24"/>
                    </w:rPr>
                    <w:t>7.温度报警：自由设定报警温度；</w:t>
                  </w:r>
                </w:p>
                <w:p>
                  <w:pPr>
                    <w:jc w:val="both"/>
                  </w:pPr>
                  <w:r>
                    <w:rPr>
                      <w:color w:val="2C3E50"/>
                      <w:sz w:val="24"/>
                    </w:rPr>
                    <w:t>8.设置修改：可以修改设置参数；</w:t>
                  </w:r>
                </w:p>
                <w:p>
                  <w:pPr>
                    <w:jc w:val="both"/>
                  </w:pPr>
                  <w:r>
                    <w:rPr>
                      <w:color w:val="2C3E50"/>
                      <w:sz w:val="24"/>
                    </w:rPr>
                    <w:t>9.单位转换：使用摄氏度、华氏度互相转换。</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台</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50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34</w:t>
                  </w:r>
                </w:p>
              </w:tc>
              <w:tc>
                <w:tcPr>
                  <w:tcW w:type="dxa" w:w="840"/>
                  <w:tcBorders>
                    <w:top w:val="none" w:color="000000" w:sz="4"/>
                    <w:left w:val="none" w:color="000000" w:sz="4"/>
                    <w:bottom w:val="single" w:color="000000" w:sz="4"/>
                    <w:right w:val="single" w:color="000000" w:sz="4"/>
                  </w:tcBorders>
                  <w:vAlign w:val="top"/>
                </w:tcPr>
                <w:p>
                  <w:pPr>
                    <w:jc w:val="both"/>
                  </w:pPr>
                  <w:r>
                    <w:rPr>
                      <w:sz w:val="24"/>
                    </w:rPr>
                    <w:t>红外线体自动温枪</w:t>
                  </w:r>
                  <w:r>
                    <w:rPr>
                      <w:sz w:val="24"/>
                    </w:rPr>
                    <w:t xml:space="preserve"> </w:t>
                  </w:r>
                  <w:r>
                    <w:rPr>
                      <w:sz w:val="24"/>
                    </w:rPr>
                    <w:t>带三角支架</w:t>
                  </w:r>
                </w:p>
              </w:tc>
              <w:tc>
                <w:tcPr>
                  <w:tcW w:type="dxa" w:w="2718"/>
                  <w:tcBorders>
                    <w:top w:val="none" w:color="000000" w:sz="4"/>
                    <w:left w:val="none" w:color="000000" w:sz="4"/>
                    <w:bottom w:val="single" w:color="000000" w:sz="4"/>
                    <w:right w:val="single" w:color="000000" w:sz="4"/>
                  </w:tcBorders>
                  <w:vAlign w:val="top"/>
                </w:tcPr>
                <w:p>
                  <w:pPr>
                    <w:numPr>
                      <w:ilvl w:val="0"/>
                      <w:numId w:val="1"/>
                    </w:numPr>
                    <w:jc w:val="both"/>
                  </w:pPr>
                  <w:r>
                    <w:rPr>
                      <w:color w:val="2C3E50"/>
                      <w:sz w:val="24"/>
                    </w:rPr>
                    <w:t>高亮数码管显示屏</w:t>
                  </w:r>
                </w:p>
                <w:p>
                  <w:pPr>
                    <w:numPr>
                      <w:ilvl w:val="0"/>
                      <w:numId w:val="2"/>
                    </w:numPr>
                  </w:pPr>
                  <w:r>
                    <w:rPr>
                      <w:color w:val="2C3E50"/>
                      <w:sz w:val="24"/>
                    </w:rPr>
                    <w:t>有效测量距离</w:t>
                  </w:r>
                  <w:r>
                    <w:rPr>
                      <w:color w:val="2C3E50"/>
                      <w:sz w:val="24"/>
                    </w:rPr>
                    <w:t>≤5cm</w:t>
                  </w:r>
                </w:p>
                <w:p>
                  <w:pPr>
                    <w:numPr>
                      <w:ilvl w:val="0"/>
                      <w:numId w:val="2"/>
                    </w:numPr>
                  </w:pPr>
                  <w:r>
                    <w:rPr>
                      <w:color w:val="2C3E50"/>
                      <w:sz w:val="24"/>
                    </w:rPr>
                    <w:t>分辨力0.1℃</w:t>
                  </w:r>
                </w:p>
                <w:p>
                  <w:pPr>
                    <w:numPr>
                      <w:ilvl w:val="0"/>
                      <w:numId w:val="2"/>
                    </w:numPr>
                  </w:pPr>
                  <w:r>
                    <w:rPr>
                      <w:color w:val="2C3E50"/>
                      <w:sz w:val="24"/>
                    </w:rPr>
                    <w:t>测量范围28℃-42℃</w:t>
                  </w:r>
                </w:p>
                <w:p>
                  <w:pPr>
                    <w:numPr>
                      <w:ilvl w:val="0"/>
                      <w:numId w:val="2"/>
                    </w:numPr>
                  </w:pPr>
                  <w:r>
                    <w:rPr>
                      <w:color w:val="2C3E50"/>
                      <w:sz w:val="24"/>
                    </w:rPr>
                    <w:t>测量结果＜37.4℃，显示测量值，鸣响一声，显绿色背光</w:t>
                  </w:r>
                </w:p>
                <w:p>
                  <w:pPr>
                    <w:numPr>
                      <w:ilvl w:val="0"/>
                      <w:numId w:val="2"/>
                    </w:numPr>
                  </w:pPr>
                  <w:r>
                    <w:rPr>
                      <w:color w:val="2C3E50"/>
                      <w:sz w:val="24"/>
                    </w:rPr>
                    <w:t>测量结果</w:t>
                  </w:r>
                  <w:r>
                    <w:rPr>
                      <w:color w:val="2C3E50"/>
                      <w:sz w:val="24"/>
                    </w:rPr>
                    <w:t>≥</w:t>
                  </w:r>
                  <w:r>
                    <w:rPr>
                      <w:color w:val="2C3E50"/>
                      <w:sz w:val="24"/>
                    </w:rPr>
                    <w:t>37.4℃，显示测量值，鸣响三声，显红色背光</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支</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80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35</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医疗垃圾袋</w:t>
                  </w:r>
                  <w:r>
                    <w:rPr>
                      <w:sz w:val="24"/>
                    </w:rPr>
                    <w:t>80*100cm</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1、材质PE；</w:t>
                  </w:r>
                </w:p>
                <w:p>
                  <w:pPr>
                    <w:jc w:val="both"/>
                  </w:pPr>
                  <w:r>
                    <w:rPr>
                      <w:color w:val="2C3E50"/>
                      <w:sz w:val="24"/>
                    </w:rPr>
                    <w:t>2、颜色为黄色。</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0.6</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36</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医疗垃圾袋</w:t>
                  </w:r>
                  <w:r>
                    <w:rPr>
                      <w:sz w:val="24"/>
                    </w:rPr>
                    <w:t>65*80cm</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1、材质PE；</w:t>
                  </w:r>
                </w:p>
                <w:p>
                  <w:pPr>
                    <w:jc w:val="both"/>
                  </w:pPr>
                  <w:r>
                    <w:rPr>
                      <w:color w:val="2C3E50"/>
                      <w:sz w:val="24"/>
                    </w:rPr>
                    <w:t>2、颜色为黄色。</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0.6</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37</w:t>
                  </w:r>
                </w:p>
              </w:tc>
              <w:tc>
                <w:tcPr>
                  <w:tcW w:type="dxa" w:w="840"/>
                  <w:tcBorders>
                    <w:top w:val="none" w:color="000000" w:sz="4"/>
                    <w:left w:val="none" w:color="000000" w:sz="4"/>
                    <w:bottom w:val="single" w:color="000000" w:sz="4"/>
                    <w:right w:val="single" w:color="000000" w:sz="4"/>
                  </w:tcBorders>
                  <w:vAlign w:val="top"/>
                </w:tcPr>
                <w:p>
                  <w:pPr>
                    <w:jc w:val="both"/>
                  </w:pPr>
                  <w:r>
                    <w:rPr>
                      <w:sz w:val="24"/>
                    </w:rPr>
                    <w:t>喷壶</w:t>
                  </w:r>
                </w:p>
              </w:tc>
              <w:tc>
                <w:tcPr>
                  <w:tcW w:type="dxa" w:w="2718"/>
                  <w:tcBorders>
                    <w:top w:val="none" w:color="000000" w:sz="4"/>
                    <w:left w:val="none" w:color="000000" w:sz="4"/>
                    <w:bottom w:val="single" w:color="000000" w:sz="4"/>
                    <w:right w:val="single" w:color="000000" w:sz="4"/>
                  </w:tcBorders>
                  <w:vAlign w:val="top"/>
                </w:tcPr>
                <w:p>
                  <w:pPr>
                    <w:numPr>
                      <w:ilvl w:val="0"/>
                      <w:numId w:val="1"/>
                    </w:numPr>
                    <w:jc w:val="both"/>
                  </w:pPr>
                  <w:r>
                    <w:rPr>
                      <w:color w:val="2C3E50"/>
                      <w:sz w:val="24"/>
                    </w:rPr>
                    <w:t>由喷头和壶组成</w:t>
                  </w:r>
                </w:p>
                <w:p>
                  <w:r>
                    <w:rPr>
                      <w:color w:val="2C3E50"/>
                      <w:sz w:val="24"/>
                    </w:rPr>
                    <w:t>2、可用于消毒液的使用</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5</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38</w:t>
                  </w:r>
                </w:p>
              </w:tc>
              <w:tc>
                <w:tcPr>
                  <w:tcW w:type="dxa" w:w="840"/>
                  <w:tcBorders>
                    <w:top w:val="none" w:color="000000" w:sz="4"/>
                    <w:left w:val="none" w:color="000000" w:sz="4"/>
                    <w:bottom w:val="single" w:color="000000" w:sz="4"/>
                    <w:right w:val="single" w:color="000000" w:sz="4"/>
                  </w:tcBorders>
                  <w:vAlign w:val="top"/>
                </w:tcPr>
                <w:p>
                  <w:pPr>
                    <w:jc w:val="both"/>
                  </w:pPr>
                  <w:r>
                    <w:rPr>
                      <w:sz w:val="24"/>
                    </w:rPr>
                    <w:t>脚踏垃圾桶</w:t>
                  </w:r>
                  <w:r>
                    <w:rPr>
                      <w:sz w:val="24"/>
                    </w:rPr>
                    <w:t>30L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1、医疗垃圾桶整体为硬质材料制成，相对密封，以保证医疗垃圾桶在正常使用的情况下，盒内盛装的锐利器具不撒漏，医疗垃圾桶一旦被封口，则无法在不破坏的情况下被轻易打开；</w:t>
                  </w:r>
                </w:p>
                <w:p>
                  <w:pPr>
                    <w:jc w:val="both"/>
                  </w:pPr>
                  <w:r>
                    <w:rPr>
                      <w:color w:val="2C3E50"/>
                      <w:sz w:val="24"/>
                    </w:rPr>
                    <w:t>2、医疗垃圾桶能防刺穿，其盛装的注射器针头、破碎玻璃片等锐利器具不能刺穿医疗垃圾桶。</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57</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39</w:t>
                  </w:r>
                </w:p>
              </w:tc>
              <w:tc>
                <w:tcPr>
                  <w:tcW w:type="dxa" w:w="840"/>
                  <w:tcBorders>
                    <w:top w:val="none" w:color="000000" w:sz="4"/>
                    <w:left w:val="none" w:color="000000" w:sz="4"/>
                    <w:bottom w:val="single" w:color="000000" w:sz="4"/>
                    <w:right w:val="single" w:color="000000" w:sz="4"/>
                  </w:tcBorders>
                  <w:vAlign w:val="top"/>
                </w:tcPr>
                <w:p>
                  <w:pPr>
                    <w:jc w:val="both"/>
                  </w:pPr>
                  <w:r>
                    <w:rPr>
                      <w:sz w:val="24"/>
                    </w:rPr>
                    <w:t>喷头</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w:t>
                  </w:r>
                  <w:r>
                    <w:rPr>
                      <w:color w:val="2C3E50"/>
                      <w:sz w:val="24"/>
                    </w:rPr>
                    <w:t>口径28mm</w:t>
                  </w:r>
                </w:p>
                <w:p>
                  <w:r>
                    <w:rPr>
                      <w:color w:val="2C3E50"/>
                      <w:sz w:val="24"/>
                    </w:rPr>
                    <w:t>2.</w:t>
                  </w:r>
                  <w:r>
                    <w:rPr>
                      <w:color w:val="2C3E50"/>
                      <w:sz w:val="24"/>
                    </w:rPr>
                    <w:t>喷管长23cm</w:t>
                  </w:r>
                </w:p>
                <w:p>
                  <w:r>
                    <w:rPr>
                      <w:color w:val="2C3E50"/>
                      <w:sz w:val="24"/>
                    </w:rPr>
                    <w:t>3.</w:t>
                  </w:r>
                  <w:r>
                    <w:rPr>
                      <w:color w:val="2C3E50"/>
                      <w:sz w:val="24"/>
                    </w:rPr>
                    <w:t>可用于500ml喷壶使用</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1.9</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40</w:t>
                  </w:r>
                </w:p>
              </w:tc>
              <w:tc>
                <w:tcPr>
                  <w:tcW w:type="dxa" w:w="840"/>
                  <w:tcBorders>
                    <w:top w:val="none" w:color="000000" w:sz="4"/>
                    <w:left w:val="none" w:color="000000" w:sz="4"/>
                    <w:bottom w:val="single" w:color="000000" w:sz="4"/>
                    <w:right w:val="single" w:color="000000" w:sz="4"/>
                  </w:tcBorders>
                  <w:vAlign w:val="top"/>
                </w:tcPr>
                <w:p>
                  <w:pPr>
                    <w:jc w:val="both"/>
                  </w:pPr>
                  <w:r>
                    <w:rPr>
                      <w:sz w:val="24"/>
                    </w:rPr>
                    <w:t>丁腈医用检查手套</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1、型号：标准型、耐用型、加厚型；</w:t>
                  </w:r>
                </w:p>
                <w:p>
                  <w:pPr>
                    <w:jc w:val="both"/>
                  </w:pPr>
                  <w:r>
                    <w:rPr>
                      <w:color w:val="2C3E50"/>
                      <w:sz w:val="24"/>
                    </w:rPr>
                    <w:t>2、尺寸：S、M、L；</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对</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1.8</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41</w:t>
                  </w:r>
                </w:p>
              </w:tc>
              <w:tc>
                <w:tcPr>
                  <w:tcW w:type="dxa" w:w="840"/>
                  <w:tcBorders>
                    <w:top w:val="none" w:color="000000" w:sz="4"/>
                    <w:left w:val="none" w:color="000000" w:sz="4"/>
                    <w:bottom w:val="single" w:color="000000" w:sz="4"/>
                    <w:right w:val="single" w:color="000000" w:sz="4"/>
                  </w:tcBorders>
                  <w:vAlign w:val="top"/>
                </w:tcPr>
                <w:p>
                  <w:pPr>
                    <w:jc w:val="both"/>
                  </w:pPr>
                  <w:r>
                    <w:rPr>
                      <w:sz w:val="24"/>
                    </w:rPr>
                    <w:t>轮椅（手动）</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1.符合GB/T 13800-2009《手动轮椅车》的标准要求</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台</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1200</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42</w:t>
                  </w:r>
                </w:p>
              </w:tc>
              <w:tc>
                <w:tcPr>
                  <w:tcW w:type="dxa" w:w="840"/>
                  <w:tcBorders>
                    <w:top w:val="none" w:color="000000" w:sz="4"/>
                    <w:left w:val="none" w:color="000000" w:sz="4"/>
                    <w:bottom w:val="single" w:color="000000" w:sz="4"/>
                    <w:right w:val="single" w:color="000000" w:sz="4"/>
                  </w:tcBorders>
                  <w:vAlign w:val="top"/>
                </w:tcPr>
                <w:p>
                  <w:pPr>
                    <w:jc w:val="both"/>
                  </w:pPr>
                  <w:r>
                    <w:rPr>
                      <w:sz w:val="24"/>
                    </w:rPr>
                    <w:t>脚踏垃圾桶</w:t>
                  </w:r>
                  <w:r>
                    <w:rPr>
                      <w:sz w:val="24"/>
                    </w:rPr>
                    <w:t>18L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1、医疗垃圾桶整体为硬质材料制成，相对密封，以保证医疗垃圾桶在正常使用的情况下，盒内盛装的锐利器具不撒漏，医疗垃圾桶一旦被封口，则无法在不破坏的情况下被轻易打开；</w:t>
                  </w:r>
                </w:p>
                <w:p>
                  <w:pPr>
                    <w:jc w:val="both"/>
                  </w:pPr>
                  <w:r>
                    <w:rPr>
                      <w:color w:val="2C3E50"/>
                      <w:sz w:val="24"/>
                    </w:rPr>
                    <w:t>2、医疗垃圾桶能防刺穿，其盛装的注射器针头、破碎玻璃片等锐利器具不能刺穿医疗垃圾桶。</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44</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43</w:t>
                  </w:r>
                </w:p>
              </w:tc>
              <w:tc>
                <w:tcPr>
                  <w:tcW w:type="dxa" w:w="840"/>
                  <w:tcBorders>
                    <w:top w:val="none" w:color="000000" w:sz="4"/>
                    <w:left w:val="none" w:color="000000" w:sz="4"/>
                    <w:bottom w:val="single" w:color="000000" w:sz="4"/>
                    <w:right w:val="single" w:color="000000" w:sz="4"/>
                  </w:tcBorders>
                  <w:vAlign w:val="top"/>
                </w:tcPr>
                <w:p>
                  <w:pPr>
                    <w:jc w:val="both"/>
                  </w:pPr>
                  <w:r>
                    <w:rPr>
                      <w:sz w:val="24"/>
                    </w:rPr>
                    <w:t>脚踏垃圾桶</w:t>
                  </w:r>
                  <w:r>
                    <w:rPr>
                      <w:sz w:val="24"/>
                    </w:rPr>
                    <w:t>40L</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1、医疗垃圾桶整体为硬质材料制成，相对密封，以保证医疗垃圾桶在正常使用的情况下，盒内盛装的锐利器具不撒漏，医疗垃圾桶一旦被封口，则无法在不破坏的情况下被轻易打开；</w:t>
                  </w:r>
                </w:p>
                <w:p>
                  <w:pPr>
                    <w:jc w:val="both"/>
                  </w:pPr>
                  <w:r>
                    <w:rPr>
                      <w:color w:val="2C3E50"/>
                      <w:sz w:val="24"/>
                    </w:rPr>
                    <w:t>2、医疗垃圾桶能防刺穿，其盛装的注射器针头、破碎玻璃片等锐利器具不能刺穿医疗垃圾桶。</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72</w:t>
                  </w:r>
                </w:p>
              </w:tc>
            </w:tr>
            <w:tr>
              <w:tc>
                <w:tcPr>
                  <w:tcW w:type="dxa" w:w="599"/>
                  <w:tcBorders>
                    <w:top w:val="none" w:color="000000" w:sz="4"/>
                    <w:left w:val="single" w:color="000000" w:sz="4"/>
                    <w:bottom w:val="single" w:color="000000" w:sz="4"/>
                    <w:right w:val="single" w:color="000000" w:sz="4"/>
                  </w:tcBorders>
                  <w:vAlign w:val="top"/>
                </w:tcPr>
                <w:p>
                  <w:pPr>
                    <w:jc w:val="both"/>
                  </w:pPr>
                  <w:r>
                    <w:rPr>
                      <w:sz w:val="24"/>
                    </w:rPr>
                    <w:t>4</w:t>
                  </w:r>
                  <w:r>
                    <w:rPr>
                      <w:sz w:val="24"/>
                    </w:rPr>
                    <w:t>4</w:t>
                  </w:r>
                </w:p>
              </w:tc>
              <w:tc>
                <w:tcPr>
                  <w:tcW w:type="dxa" w:w="840"/>
                  <w:tcBorders>
                    <w:top w:val="none" w:color="000000" w:sz="4"/>
                    <w:left w:val="none" w:color="000000" w:sz="4"/>
                    <w:bottom w:val="single" w:color="000000" w:sz="4"/>
                    <w:right w:val="single" w:color="000000" w:sz="4"/>
                  </w:tcBorders>
                  <w:vAlign w:val="top"/>
                </w:tcPr>
                <w:p>
                  <w:pPr>
                    <w:jc w:val="both"/>
                  </w:pPr>
                  <w:r>
                    <w:rPr>
                      <w:sz w:val="24"/>
                    </w:rPr>
                    <w:t>医疗垃圾袋</w:t>
                  </w:r>
                  <w:r>
                    <w:rPr>
                      <w:sz w:val="24"/>
                    </w:rPr>
                    <w:t>65*70cm</w:t>
                  </w:r>
                </w:p>
              </w:tc>
              <w:tc>
                <w:tcPr>
                  <w:tcW w:type="dxa" w:w="2718"/>
                  <w:tcBorders>
                    <w:top w:val="none" w:color="000000" w:sz="4"/>
                    <w:left w:val="none" w:color="000000" w:sz="4"/>
                    <w:bottom w:val="single" w:color="000000" w:sz="4"/>
                    <w:right w:val="single" w:color="000000" w:sz="4"/>
                  </w:tcBorders>
                  <w:vAlign w:val="top"/>
                </w:tcPr>
                <w:p>
                  <w:pPr>
                    <w:jc w:val="both"/>
                  </w:pPr>
                  <w:r>
                    <w:rPr>
                      <w:color w:val="2C3E50"/>
                      <w:sz w:val="24"/>
                    </w:rPr>
                    <w:t>1、材质PE；</w:t>
                  </w:r>
                </w:p>
                <w:p>
                  <w:pPr>
                    <w:jc w:val="both"/>
                  </w:pPr>
                  <w:r>
                    <w:rPr>
                      <w:color w:val="2C3E50"/>
                      <w:sz w:val="24"/>
                    </w:rPr>
                    <w:t>2、颜色为黄色。</w:t>
                  </w:r>
                </w:p>
              </w:tc>
              <w:tc>
                <w:tcPr>
                  <w:tcW w:type="dxa" w:w="554"/>
                  <w:tcBorders>
                    <w:top w:val="none" w:color="000000" w:sz="4"/>
                    <w:left w:val="none" w:color="000000" w:sz="4"/>
                    <w:bottom w:val="single" w:color="000000" w:sz="4"/>
                    <w:right w:val="single" w:color="000000" w:sz="4"/>
                  </w:tcBorders>
                  <w:vAlign w:val="top"/>
                </w:tcPr>
                <w:p>
                  <w:pPr>
                    <w:jc w:val="center"/>
                  </w:pPr>
                  <w:r>
                    <w:rPr>
                      <w:color w:val="2C3E50"/>
                      <w:sz w:val="24"/>
                    </w:rPr>
                    <w:t>只</w:t>
                  </w:r>
                </w:p>
              </w:tc>
              <w:tc>
                <w:tcPr>
                  <w:tcW w:type="dxa" w:w="858"/>
                  <w:tcBorders>
                    <w:top w:val="none" w:color="000000" w:sz="4"/>
                    <w:left w:val="none" w:color="000000" w:sz="4"/>
                    <w:bottom w:val="single" w:color="000000" w:sz="4"/>
                    <w:right w:val="single" w:color="000000" w:sz="4"/>
                  </w:tcBorders>
                  <w:vAlign w:val="top"/>
                </w:tcPr>
                <w:p>
                  <w:pPr>
                    <w:jc w:val="center"/>
                  </w:pPr>
                  <w:r>
                    <w:rPr>
                      <w:color w:val="2C3E50"/>
                      <w:sz w:val="24"/>
                    </w:rPr>
                    <w:t>0.6</w:t>
                  </w:r>
                </w:p>
              </w:tc>
            </w:tr>
          </w:tbl>
          <w:p>
            <w:r>
              <w:rPr>
                <w:b/>
                <w:sz w:val="24"/>
              </w:rPr>
              <w:t>本项目核心产品为：一次性使用医用外科口罩</w:t>
            </w:r>
          </w:p>
          <w:p>
            <w:pPr>
              <w:ind w:firstLine="426"/>
              <w:jc w:val="both"/>
            </w:pPr>
            <w:r>
              <w:rPr>
                <w:b/>
                <w:sz w:val="24"/>
              </w:rPr>
              <w:t>二、项目要求</w:t>
            </w:r>
          </w:p>
          <w:p>
            <w:pPr>
              <w:ind w:firstLine="424"/>
              <w:jc w:val="both"/>
            </w:pPr>
            <w:r>
              <w:rPr>
                <w:sz w:val="24"/>
              </w:rPr>
              <w:t>(1)按需送货。采购人提出订单要求，中标人需在1小时内响应。中标人根据采购人每次订单要求，把货物送至采购人指定地点，原则上每批次的货物交货时间为接到订单要求后2个工作日内。</w:t>
            </w:r>
          </w:p>
          <w:p>
            <w:pPr>
              <w:ind w:firstLine="424"/>
              <w:jc w:val="both"/>
            </w:pPr>
            <w:r>
              <w:rPr>
                <w:sz w:val="24"/>
              </w:rPr>
              <w:t>(2)中标人须提供24小时服务热线和应急人员名单，如遇特殊情况须及时响应并无条件配合采购人的工作。</w:t>
            </w:r>
          </w:p>
          <w:p>
            <w:pPr>
              <w:ind w:firstLine="424"/>
              <w:jc w:val="both"/>
            </w:pPr>
            <w:r>
              <w:rPr>
                <w:sz w:val="24"/>
              </w:rPr>
              <w:t>(3)★每三个月提供一次产品检测报告，所配送的产品必须为检测合格的产品。（提供承诺函）</w:t>
            </w:r>
          </w:p>
          <w:p>
            <w:pPr>
              <w:ind w:firstLine="424"/>
              <w:jc w:val="both"/>
            </w:pPr>
            <w:r>
              <w:rPr>
                <w:sz w:val="24"/>
              </w:rPr>
              <w:t>(4)预计需求数量仅为预估参考的值，采购人不承诺具体的数量，如政府有关部门发布疫情结束的通知后则停止供货且合同终止，中标人须自行考虑并承担其中的风险。</w:t>
            </w:r>
          </w:p>
          <w:p>
            <w:pPr>
              <w:ind w:firstLine="424"/>
              <w:jc w:val="both"/>
            </w:pPr>
            <w:r>
              <w:rPr>
                <w:sz w:val="24"/>
              </w:rPr>
              <w:t>(5)供货期内，如所投产品生产厂家停产或不再生产此规格的产品，中标人可提供不低于现供货物标准的替代产品。产品更换前须经过采购人的同意方可更换。</w:t>
            </w:r>
          </w:p>
          <w:p>
            <w:pPr>
              <w:ind w:firstLine="420"/>
              <w:jc w:val="both"/>
            </w:pPr>
            <w:r>
              <w:rPr>
                <w:sz w:val="24"/>
              </w:rPr>
              <w:t>（</w:t>
            </w:r>
            <w:r>
              <w:rPr>
                <w:sz w:val="24"/>
              </w:rPr>
              <w:t>6）合同签订后，供应商若未能按照采购人的要求履行合同，采购人则有权随时单方终止合同。如：合同签订之后，供应商供货己达到合同金额30%，在供货期间，没能按采购人要求履约（包括但不限于供货时间、供货质量、服务质量等没达到采购人的要求），采购人有权随时单方终止合同。</w:t>
            </w:r>
          </w:p>
          <w:p>
            <w:pPr>
              <w:ind w:firstLine="420"/>
              <w:jc w:val="both"/>
            </w:pPr>
            <w:r>
              <w:rPr>
                <w:sz w:val="24"/>
              </w:rPr>
              <w:t>（</w:t>
            </w:r>
            <w:r>
              <w:rPr>
                <w:sz w:val="24"/>
              </w:rPr>
              <w:t>7）本项目属于日常常态化防疫物资采购，如因疫情严重，出现突发疫情或片区疫情引起突发情况及突发事件，采购人有权另行处理。</w:t>
            </w:r>
          </w:p>
          <w:p>
            <w:pPr>
              <w:ind w:firstLine="422"/>
              <w:jc w:val="both"/>
            </w:pPr>
            <w:r>
              <w:rPr>
                <w:b/>
                <w:sz w:val="24"/>
              </w:rPr>
              <w:t>三、货物要求</w:t>
            </w:r>
          </w:p>
          <w:p>
            <w:pPr>
              <w:ind w:firstLine="420"/>
              <w:jc w:val="both"/>
            </w:pPr>
            <w:r>
              <w:rPr>
                <w:sz w:val="24"/>
              </w:rPr>
              <w:t>1</w:t>
            </w:r>
            <w:r>
              <w:rPr>
                <w:sz w:val="24"/>
              </w:rPr>
              <w:t>、</w:t>
            </w:r>
            <w:r>
              <w:rPr>
                <w:sz w:val="24"/>
              </w:rPr>
              <w:t>中标人</w:t>
            </w:r>
            <w:r>
              <w:rPr>
                <w:sz w:val="24"/>
              </w:rPr>
              <w:t>提供的货物必须符合中华人民共和国国家安全环保标准。</w:t>
            </w:r>
          </w:p>
          <w:p>
            <w:pPr>
              <w:ind w:firstLine="420"/>
              <w:jc w:val="both"/>
            </w:pPr>
            <w:r>
              <w:rPr>
                <w:sz w:val="24"/>
              </w:rPr>
              <w:t>2</w:t>
            </w:r>
            <w:r>
              <w:rPr>
                <w:sz w:val="24"/>
              </w:rPr>
              <w:t>、货物为应是原厂原装、全新的产品，并符合下列要求：国家标准、行业标准以及该产品的出厂标准，报价设备的包装均应有良好的防湿、防锈、防潮、防雨、防腐及防碰撞的措施。</w:t>
            </w:r>
          </w:p>
          <w:p>
            <w:pPr>
              <w:ind w:firstLine="420"/>
              <w:jc w:val="both"/>
            </w:pPr>
            <w:r>
              <w:rPr>
                <w:sz w:val="24"/>
              </w:rPr>
              <w:t>3</w:t>
            </w:r>
            <w:r>
              <w:rPr>
                <w:sz w:val="24"/>
              </w:rPr>
              <w:t>、货物为原厂商未启封全新包装，具出厂合格证，序列号、包装箱号与出厂批号一致，并可追索查阅。</w:t>
            </w:r>
          </w:p>
          <w:p>
            <w:pPr>
              <w:ind w:firstLine="420"/>
              <w:jc w:val="both"/>
            </w:pPr>
            <w:r>
              <w:rPr>
                <w:sz w:val="24"/>
              </w:rPr>
              <w:t>4</w:t>
            </w:r>
            <w:r>
              <w:rPr>
                <w:sz w:val="24"/>
              </w:rPr>
              <w:t>、</w:t>
            </w:r>
            <w:r>
              <w:rPr>
                <w:sz w:val="24"/>
              </w:rPr>
              <w:t>中标人</w:t>
            </w:r>
            <w:r>
              <w:rPr>
                <w:sz w:val="24"/>
              </w:rPr>
              <w:t>应将关键主机设备的用户手册、保修手册、有关单证资料及配备件、随机工具等交付给</w:t>
            </w:r>
            <w:r>
              <w:rPr>
                <w:sz w:val="24"/>
              </w:rPr>
              <w:t>采购人</w:t>
            </w:r>
            <w:r>
              <w:rPr>
                <w:sz w:val="24"/>
              </w:rPr>
              <w:t>，使用操作及安全须知等重要资料应附有中文说明。</w:t>
            </w:r>
          </w:p>
          <w:p>
            <w:pPr>
              <w:ind w:firstLine="420"/>
              <w:jc w:val="both"/>
            </w:pPr>
            <w:r>
              <w:rPr>
                <w:sz w:val="24"/>
              </w:rPr>
              <w:t>5</w:t>
            </w:r>
            <w:r>
              <w:rPr>
                <w:sz w:val="24"/>
              </w:rPr>
              <w:t>、如果发现货物的质量和规格与合同规定不符或货物在质量保证期内被证明有缺陷，包括内在缺陷或使用不适当原材料，</w:t>
            </w:r>
            <w:r>
              <w:rPr>
                <w:sz w:val="24"/>
              </w:rPr>
              <w:t>采购人</w:t>
            </w:r>
            <w:r>
              <w:rPr>
                <w:sz w:val="24"/>
              </w:rPr>
              <w:t>将有权要求有关部门进行检验，并依据检验证书向</w:t>
            </w:r>
            <w:r>
              <w:rPr>
                <w:sz w:val="24"/>
              </w:rPr>
              <w:t>中标人</w:t>
            </w:r>
            <w:r>
              <w:rPr>
                <w:sz w:val="24"/>
              </w:rPr>
              <w:t>索赔。</w:t>
            </w:r>
          </w:p>
          <w:p>
            <w:pPr>
              <w:ind w:firstLine="420"/>
              <w:jc w:val="both"/>
            </w:pPr>
            <w:r>
              <w:rPr>
                <w:b/>
                <w:sz w:val="24"/>
              </w:rPr>
              <w:t>四、服务要求</w:t>
            </w:r>
          </w:p>
          <w:p>
            <w:pPr>
              <w:ind w:firstLine="424"/>
              <w:jc w:val="both"/>
            </w:pPr>
            <w:r>
              <w:rPr>
                <w:sz w:val="24"/>
              </w:rPr>
              <w:t>1、包装、保险及发运、保管要求、到货检验</w:t>
            </w:r>
          </w:p>
          <w:p>
            <w:pPr>
              <w:ind w:firstLine="424"/>
              <w:jc w:val="both"/>
            </w:pPr>
            <w:r>
              <w:rPr>
                <w:sz w:val="24"/>
              </w:rPr>
              <w:t>(1)货物的包装必须是制造商原厂包装，其包装均应有良好的防湿、防潮、防雨、防腐及防碰撞的措施。凡由于包装不良造成的损失和由此产生的费用均由中标人承担。</w:t>
            </w:r>
          </w:p>
          <w:p>
            <w:pPr>
              <w:ind w:firstLine="424"/>
              <w:jc w:val="both"/>
            </w:pPr>
            <w:r>
              <w:rPr>
                <w:sz w:val="24"/>
              </w:rPr>
              <w:t>(2)中标人负责将货物货到现场过程中的全部运输，包括装卸车、货物现场的搬运。</w:t>
            </w:r>
          </w:p>
          <w:p>
            <w:pPr>
              <w:ind w:firstLine="424"/>
              <w:jc w:val="both"/>
            </w:pPr>
            <w:r>
              <w:rPr>
                <w:sz w:val="24"/>
              </w:rPr>
              <w:t>(3)货物至采购人指定的使用现场保险及发运等环节和费用均由中标人负责。</w:t>
            </w:r>
          </w:p>
          <w:p>
            <w:pPr>
              <w:ind w:firstLine="424"/>
              <w:jc w:val="both"/>
            </w:pPr>
            <w:r>
              <w:rPr>
                <w:sz w:val="24"/>
              </w:rPr>
              <w:t>(4)货物包装应能防止破损和使用前的污染。</w:t>
            </w:r>
          </w:p>
          <w:p>
            <w:pPr>
              <w:ind w:firstLine="420"/>
              <w:jc w:val="both"/>
            </w:pPr>
            <w:r>
              <w:rPr>
                <w:sz w:val="24"/>
              </w:rPr>
              <w:t>（</w:t>
            </w:r>
            <w:r>
              <w:rPr>
                <w:sz w:val="24"/>
              </w:rPr>
              <w:t>5）</w:t>
            </w:r>
            <w:r>
              <w:rPr>
                <w:sz w:val="24"/>
              </w:rPr>
              <w:t>到货检验</w:t>
            </w:r>
            <w:r>
              <w:rPr>
                <w:sz w:val="24"/>
              </w:rPr>
              <w:t>：</w:t>
            </w:r>
            <w:r>
              <w:rPr>
                <w:sz w:val="24"/>
              </w:rPr>
              <w:t>货物的到货验收包括：型号、规格、数量、外观质量及货物包装完整无破损，在货物抵达交货目的地后，</w:t>
            </w:r>
            <w:r>
              <w:rPr>
                <w:sz w:val="24"/>
              </w:rPr>
              <w:t>采购人中标人</w:t>
            </w:r>
            <w:r>
              <w:rPr>
                <w:sz w:val="24"/>
              </w:rPr>
              <w:t>双方就货物外观质量、规格和型号进行初步检验。货物为原厂商未启封全新包装，具出厂合格证，序列号、包装箱号与出厂批号一致，并可追索查阅。所有随货物的附件必须齐全。如果发现到货的外观质量、规格和型号与合同不符，</w:t>
            </w:r>
            <w:r>
              <w:rPr>
                <w:sz w:val="24"/>
              </w:rPr>
              <w:t>采购人</w:t>
            </w:r>
            <w:r>
              <w:rPr>
                <w:sz w:val="24"/>
              </w:rPr>
              <w:t>有权拒收货物，并可向</w:t>
            </w:r>
            <w:r>
              <w:rPr>
                <w:sz w:val="24"/>
              </w:rPr>
              <w:t>中标人</w:t>
            </w:r>
            <w:r>
              <w:rPr>
                <w:sz w:val="24"/>
              </w:rPr>
              <w:t>索赔。</w:t>
            </w:r>
          </w:p>
          <w:p>
            <w:pPr>
              <w:ind w:firstLine="424"/>
              <w:jc w:val="both"/>
            </w:pPr>
            <w:r>
              <w:rPr>
                <w:sz w:val="24"/>
              </w:rPr>
              <w:t>2、质保期及售后服务要求</w:t>
            </w:r>
          </w:p>
          <w:p>
            <w:pPr>
              <w:ind w:firstLine="424"/>
              <w:jc w:val="both"/>
            </w:pPr>
            <w:r>
              <w:rPr>
                <w:sz w:val="24"/>
              </w:rPr>
              <w:t>(1)保质期期限：按产品出厂有效期。中标人货物入库时货物剩余有效期不得少于标注有效期的80%。</w:t>
            </w:r>
          </w:p>
          <w:p>
            <w:pPr>
              <w:ind w:firstLine="424"/>
              <w:jc w:val="both"/>
            </w:pPr>
            <w:r>
              <w:rPr>
                <w:sz w:val="24"/>
              </w:rPr>
              <w:t>(2)供货期内，采购人每月不定期组织有关部门人员对仓库储备货物进行抽检，若出现货物质量问题或储备量不足的，中标人须在接到采购人通知（书面、传真、短信等方式）后三个工作日内无条件调整更换或补充货物，若三个工作日内对有质量问题货物未能更换合格货物或更换的货物仍达不到验收要求的或未能补充满足储备量货物的，采购人有权解除合同。供货期内抽查出现有2次不合格的或因产品质量问题造成严重影响的，采购人有权解除合同，因此而造成的违约责任及采购人产生的一切损失由中标人承担，采购人有权保留追究相关责任的权利。</w:t>
            </w:r>
          </w:p>
          <w:p>
            <w:pPr>
              <w:ind w:firstLine="480"/>
              <w:jc w:val="both"/>
            </w:pPr>
            <w:r>
              <w:rPr>
                <w:sz w:val="24"/>
              </w:rPr>
              <w:t>(3)中标人负责所有因货物质量问题而产生的费用。</w:t>
            </w:r>
          </w:p>
          <w:p>
            <w:pPr>
              <w:ind w:firstLine="420"/>
              <w:jc w:val="both"/>
            </w:pPr>
            <w:r>
              <w:rPr>
                <w:b/>
                <w:sz w:val="24"/>
              </w:rPr>
              <w:t>五、验收程序：</w:t>
            </w:r>
          </w:p>
          <w:p>
            <w:pPr>
              <w:ind w:firstLine="420"/>
              <w:jc w:val="both"/>
            </w:pPr>
            <w:r>
              <w:rPr>
                <w:sz w:val="24"/>
              </w:rPr>
              <w:t>1.</w:t>
            </w:r>
            <w:r>
              <w:rPr>
                <w:sz w:val="24"/>
              </w:rPr>
              <w:t>验收时，货物按照国家标准验收，中标人提供的每批次产品必须为全新产品，包装完整、无污染、外观整洁、无侵权行为、表面无划损、无任何缺陷隐患，附产品合格证，并出具合格检验报告。装箱单号与出厂生产批号一致，并可追索查阅。</w:t>
            </w:r>
          </w:p>
          <w:p>
            <w:pPr>
              <w:ind w:firstLine="420"/>
              <w:jc w:val="both"/>
            </w:pPr>
            <w:r>
              <w:rPr>
                <w:sz w:val="24"/>
              </w:rPr>
              <w:t>2.</w:t>
            </w:r>
            <w:r>
              <w:rPr>
                <w:sz w:val="24"/>
              </w:rPr>
              <w:t>验收完毕后，</w:t>
            </w:r>
            <w:r>
              <w:rPr>
                <w:sz w:val="24"/>
              </w:rPr>
              <w:t>采购人中标人双方</w:t>
            </w:r>
            <w:r>
              <w:rPr>
                <w:sz w:val="24"/>
              </w:rPr>
              <w:t>必须在商品收货清单上签名确认，商品收货清单作为采购人支付货款的依据之一。双方在收货清单上的签名确认仅为直观判断商品数量、规格、品牌、型号是否符合双方约定，产品质量是否合格应以第三方机构的检测报告为准。</w:t>
            </w:r>
          </w:p>
          <w:p>
            <w:pPr>
              <w:ind w:firstLine="420"/>
              <w:jc w:val="both"/>
            </w:pPr>
            <w:r>
              <w:rPr>
                <w:sz w:val="24"/>
              </w:rPr>
              <w:t>3.</w:t>
            </w:r>
            <w:r>
              <w:rPr>
                <w:sz w:val="24"/>
              </w:rPr>
              <w:t>供货期内供应采购人不适用的商品允许商品不影响二次销售、包装完好情况下免费退换；当出现不合格产品时中标人要无条件更换合格产品。除采购人认可，否则不接受任何形式的降格处理。</w:t>
            </w:r>
          </w:p>
          <w:p>
            <w:pPr>
              <w:ind w:firstLine="420"/>
              <w:jc w:val="both"/>
            </w:pPr>
            <w:r>
              <w:rPr>
                <w:sz w:val="24"/>
              </w:rPr>
              <w:t>4.</w:t>
            </w:r>
            <w:r>
              <w:rPr>
                <w:sz w:val="24"/>
              </w:rPr>
              <w:t>在采购人或采购人委托人签收之前，商品的所有权和风险属于中标人，商品发生遗失、损坏、质变等由中标人负责</w:t>
            </w:r>
            <w:r>
              <w:rPr>
                <w:sz w:val="24"/>
              </w:rPr>
              <w:t>。</w:t>
            </w:r>
          </w:p>
          <w:p>
            <w:pPr>
              <w:ind w:firstLine="420"/>
              <w:jc w:val="both"/>
            </w:pPr>
            <w:r>
              <w:rPr>
                <w:sz w:val="24"/>
              </w:rPr>
              <w:t>(1)</w:t>
            </w:r>
            <w:r>
              <w:rPr>
                <w:sz w:val="24"/>
              </w:rPr>
              <w:t>保质期期限：按产品出厂有效期。乙方货物入库时货物剩余有效期不得少于标注有效期的</w:t>
            </w:r>
            <w:r>
              <w:rPr>
                <w:sz w:val="24"/>
              </w:rPr>
              <w:t>80%</w:t>
            </w:r>
            <w:r>
              <w:rPr>
                <w:sz w:val="24"/>
              </w:rPr>
              <w:t>。</w:t>
            </w:r>
          </w:p>
          <w:p>
            <w:pPr>
              <w:ind w:firstLine="420"/>
              <w:jc w:val="both"/>
            </w:pPr>
            <w:r>
              <w:rPr>
                <w:sz w:val="24"/>
              </w:rPr>
              <w:t>(2)</w:t>
            </w:r>
            <w:r>
              <w:rPr>
                <w:sz w:val="24"/>
              </w:rPr>
              <w:t>供货期内，甲方每月不定期组织有关部门人员对仓库储备货物进行抽检，若出现货物质量问题或储备量不足的，乙方须在接到甲方通知（书面、传真、短信等方式）后三个工作日内无条件调整更换或补充货物，若三个工作日内对有质量问题货物未能更换合格货物或更换的货物仍达不到验收要求的或未能补充满足储备量货物的，甲方有权解除合同。供货期内抽查出现有</w:t>
            </w:r>
            <w:r>
              <w:rPr>
                <w:sz w:val="24"/>
              </w:rPr>
              <w:t>2</w:t>
            </w:r>
            <w:r>
              <w:rPr>
                <w:sz w:val="24"/>
              </w:rPr>
              <w:t>次不合格的或因产品质量问题造成严重影响的，甲方有权解除合同，因此而造成的违约责任及甲方产生的一切损失由乙方承担，甲方有权保留追究相关责任的权利。</w:t>
            </w:r>
          </w:p>
          <w:p>
            <w:pPr>
              <w:ind w:firstLine="420"/>
              <w:jc w:val="both"/>
            </w:pPr>
            <w:r>
              <w:rPr>
                <w:sz w:val="24"/>
              </w:rPr>
              <w:t>(3)</w:t>
            </w:r>
            <w:r>
              <w:rPr>
                <w:sz w:val="24"/>
              </w:rPr>
              <w:t>乙方负责所有因货物质量问题而产生的费用。</w:t>
            </w:r>
          </w:p>
          <w:p>
            <w:pPr>
              <w:ind w:firstLine="420"/>
              <w:jc w:val="both"/>
            </w:pPr>
            <w:r>
              <w:rPr>
                <w:sz w:val="24"/>
              </w:rPr>
              <w:t>5</w:t>
            </w:r>
            <w:r>
              <w:rPr>
                <w:sz w:val="24"/>
              </w:rPr>
              <w:t>、负责售后服务的单位名称：</w:t>
            </w:r>
          </w:p>
          <w:p>
            <w:pPr>
              <w:ind w:firstLine="420"/>
              <w:jc w:val="both"/>
            </w:pPr>
            <w:r>
              <w:rPr>
                <w:sz w:val="24"/>
              </w:rPr>
              <w:t>联系地址：</w:t>
            </w:r>
          </w:p>
          <w:p>
            <w:pPr>
              <w:ind w:firstLine="420"/>
              <w:jc w:val="both"/>
            </w:pPr>
            <w:r>
              <w:rPr>
                <w:sz w:val="24"/>
              </w:rPr>
              <w:t>联系人：</w:t>
            </w:r>
          </w:p>
          <w:p>
            <w:pPr>
              <w:ind w:firstLine="420"/>
              <w:jc w:val="both"/>
            </w:pPr>
            <w:r>
              <w:rPr>
                <w:sz w:val="24"/>
              </w:rPr>
              <w:t>联系电话：</w:t>
            </w:r>
          </w:p>
          <w:p>
            <w:pPr>
              <w:ind w:firstLine="420"/>
              <w:jc w:val="both"/>
            </w:pPr>
            <w:r>
              <w:rPr>
                <w:sz w:val="24"/>
              </w:rPr>
              <w:t>手机号码：</w:t>
            </w:r>
          </w:p>
          <w:p>
            <w:pPr>
              <w:ind w:firstLine="420"/>
              <w:jc w:val="both"/>
            </w:pPr>
            <w:r>
              <w:rPr>
                <w:b/>
                <w:sz w:val="24"/>
              </w:rPr>
              <w:t>六、合同期限和付款方式</w:t>
            </w:r>
          </w:p>
          <w:p>
            <w:r>
              <w:rPr>
                <w:sz w:val="24"/>
              </w:rPr>
              <w:t>（</w:t>
            </w:r>
            <w:r>
              <w:rPr>
                <w:sz w:val="24"/>
              </w:rPr>
              <w:t>1</w:t>
            </w:r>
            <w:r>
              <w:rPr>
                <w:sz w:val="24"/>
              </w:rPr>
              <w:t>）、合同期限为一年，从签订日起计</w:t>
            </w:r>
          </w:p>
          <w:p>
            <w:pPr>
              <w:ind w:firstLine="420"/>
              <w:jc w:val="both"/>
            </w:pPr>
            <w:r>
              <w:rPr>
                <w:sz w:val="24"/>
              </w:rPr>
              <w:t>（</w:t>
            </w:r>
            <w:r>
              <w:rPr>
                <w:sz w:val="24"/>
              </w:rPr>
              <w:t>2</w:t>
            </w:r>
            <w:r>
              <w:rPr>
                <w:sz w:val="24"/>
              </w:rPr>
              <w:t>）</w:t>
            </w:r>
            <w:r>
              <w:rPr>
                <w:sz w:val="24"/>
              </w:rPr>
              <w:t>、</w:t>
            </w:r>
            <w:r>
              <w:rPr>
                <w:sz w:val="24"/>
              </w:rPr>
              <w:t>甲方收到货物后，经相关负责人验收合格后，出具验收单并通知乙方开合规发票后结算。因甲方使用的是财政资金，甲方在前款规定的付款时间内向财政部门申请支付相关费用即视为甲方履行了支付义务（不含政府财政支付部门审核的时间），由于财政部门原因导致未能如期支付应付的相关费用，不应作为逾期支付费用的情形，甲方无需承担逾期付款的违约责任。</w:t>
            </w:r>
          </w:p>
        </w:tc>
      </w:tr>
      <w:tr>
        <w:tc>
          <w:tcPr>
            <w:tcW w:type="dxa" w:w="2076"/>
          </w:tcPr>
          <w:p>
            <w:r>
              <w:rPr/>
              <w:t>★</w:t>
            </w:r>
          </w:p>
        </w:tc>
        <w:tc>
          <w:tcPr>
            <w:tcW w:type="dxa" w:w="415"/>
          </w:tcPr>
          <w:p>
            <w:r>
              <w:rPr/>
              <w:t>2</w:t>
            </w:r>
          </w:p>
        </w:tc>
        <w:tc>
          <w:tcPr>
            <w:tcW w:type="dxa" w:w="5814"/>
          </w:tcPr>
          <w:p>
            <w:pPr>
              <w:jc w:val="both"/>
            </w:pPr>
            <w:r>
              <w:rPr>
                <w:sz w:val="24"/>
              </w:rPr>
              <w:t>★</w:t>
            </w:r>
            <w:r>
              <w:rPr>
                <w:sz w:val="24"/>
              </w:rPr>
              <w:t>中标人须按照采购人要求进行结算。</w:t>
            </w:r>
          </w:p>
          <w:p>
            <w:pPr>
              <w:jc w:val="both"/>
            </w:pPr>
            <w:r>
              <w:rPr>
                <w:sz w:val="24"/>
              </w:rPr>
              <w:t>★</w:t>
            </w:r>
            <w:r>
              <w:rPr>
                <w:sz w:val="24"/>
              </w:rPr>
              <w:t>采购人如遇特殊情况需要紧急物资的，中标人须在</w:t>
            </w:r>
            <w:r>
              <w:rPr>
                <w:sz w:val="24"/>
              </w:rPr>
              <w:t>2</w:t>
            </w:r>
            <w:r>
              <w:rPr>
                <w:sz w:val="24"/>
              </w:rPr>
              <w:t>小时内将物资送至采购人指定地点。如遇到中标人无法满足采购人采购清单所需物资及送达时间，采购人可协助中标人在第三方供应商中采购，所有费用由中标人承担。（提供承诺</w:t>
            </w:r>
            <w:r>
              <w:rPr>
                <w:sz w:val="24"/>
              </w:rPr>
              <w:t>函</w:t>
            </w:r>
            <w:r>
              <w:rPr>
                <w:sz w:val="24"/>
              </w:rPr>
              <w:t>）</w:t>
            </w:r>
          </w:p>
          <w:p>
            <w:pPr>
              <w:jc w:val="both"/>
            </w:pPr>
            <w:r>
              <w:rPr>
                <w:sz w:val="24"/>
              </w:rPr>
              <w:t>★</w:t>
            </w:r>
            <w:r>
              <w:rPr>
                <w:sz w:val="24"/>
              </w:rPr>
              <w:t>每三个月提供一次产品检测报告，所配送的产品必须为检测合格的产品。（提供承诺函）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1.采购代理机构：本项目是指品正招标采购（广州）有限公司，负责整个采购活动的组织，依法负责编制和发布招标文件，对招标文件拥有最终的解释权，不以任何身份出任评标委员会成员。</w:t>
      </w:r>
    </w:p>
    <w:p>
      <w:pPr>
        <w:ind w:firstLine="480"/>
      </w:pPr>
      <w:r>
        <w:rPr/>
        <w:t>2.采购人：本项目是指</w:t>
      </w:r>
      <w:r>
        <w:rPr/>
        <w:t>广州市南沙区大岗镇人民政府</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按差额定率累进法计算收费：参照发改价格〔2011〕534号文以及《关于进一步放开建设项目专业服务价格的通知》（发改价格〔2015〕299号）规定的“服务类”计费标准按人民币28000元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品正招标采购（广州）有限公司网站（http://www.pinzhengzhaobiao.com/）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品正招标采购（广州）有限公司网站（http://www.pinzhengzhaobiao.com/）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何小姐</w:t>
      </w:r>
    </w:p>
    <w:p>
      <w:pPr>
        <w:ind w:firstLine="480"/>
      </w:pPr>
      <w:r>
        <w:rPr/>
        <w:t>电话：</w:t>
      </w:r>
      <w:r>
        <w:rPr/>
        <w:t>(020)22634050</w:t>
      </w:r>
    </w:p>
    <w:p>
      <w:pPr>
        <w:ind w:firstLine="480"/>
      </w:pPr>
      <w:r>
        <w:rPr/>
        <w:t>传真：</w:t>
      </w:r>
      <w:r>
        <w:rPr/>
        <w:t>/</w:t>
      </w:r>
    </w:p>
    <w:p>
      <w:pPr>
        <w:ind w:firstLine="480"/>
      </w:pPr>
      <w:r>
        <w:rPr/>
        <w:t>邮箱：</w:t>
      </w:r>
      <w:r>
        <w:rPr/>
        <w:t>pingzhenggs@foxmail.com</w:t>
      </w:r>
    </w:p>
    <w:p>
      <w:pPr>
        <w:ind w:firstLine="480"/>
      </w:pPr>
      <w:r>
        <w:rPr/>
        <w:t>地址：</w:t>
      </w:r>
      <w:r>
        <w:rPr/>
        <w:t>广东省广州市南沙区东涌镇大同村市南公路13号茂源创意园A座302</w:t>
      </w:r>
    </w:p>
    <w:p>
      <w:pPr>
        <w:ind w:firstLine="480"/>
      </w:pPr>
      <w:r>
        <w:rPr/>
        <w:t>邮编：</w:t>
      </w:r>
      <w:r>
        <w:rPr/>
        <w:t>511453</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政府采购监督管理机构名称：广州市南沙区财政局财政监督管理处</w:t>
      </w:r>
    </w:p>
    <w:p>
      <w:r>
        <w:rPr/>
        <w:t>地  址：广州市南沙区凤凰大道1号D栋3楼</w:t>
      </w:r>
    </w:p>
    <w:p>
      <w:r>
        <w:rPr/>
        <w:t>电  话：020-39078089</w:t>
      </w:r>
    </w:p>
    <w:p>
      <w:r>
        <w:rPr/>
        <w:t>邮  编：511455</w:t>
      </w:r>
    </w:p>
    <w:p>
      <w:r>
        <w:rPr/>
        <w:t>传  真：020-84986648</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南沙区大岗镇新冠肺炎疫情防控物资用品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品正招标采购（广州）有限公司</w:t>
      </w:r>
      <w:r>
        <w:rPr/>
        <w:t>统一对外发布。</w:t>
      </w:r>
    </w:p>
    <w:p>
      <w:pPr>
        <w:ind w:firstLine="480"/>
      </w:pPr>
      <w:r>
        <w:rPr/>
        <w:t>（2）对</w:t>
      </w:r>
      <w:r>
        <w:rPr/>
        <w:t>品正招标采购（广州）有限公司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采购包1（广州市南沙区大岗镇新冠肺炎疫情防控物资用品采购项目）：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采购包1（广州市南沙区大岗镇新冠肺炎疫情防控物资用品采购项目）：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分公司已获得总公司有效授权的，总公司取得的相关资质证书对分公司有效。若法律法规或招标文件另有规定的从其规定）</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有依法缴纳税收和社会保障资金的良好记录。（提供供应商资格声明函（格式自拟））</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具有良好的商业信誉和健全的财务会计制度。（提供供应商资格声明函（格式自拟））</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具有履行合同所必需的设备和专业技术能力。（提供供应商资格声明函（格式自拟））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参加采购活动前三年内，在经营活动中没有重大违法记录。（提供供应商资格声明函（格式自拟））。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记录名单；不处于中国政府采购网(www.ccgp.gov.cn)“政府采购严重违法失信行为信息记录”中的禁止参加政府采购活动期间。（以采购代理机构于投标（响应）截止时间当天在“信用中国”网站（www.creditchina.gov.cn） 及中国政府采购网（http://www.ccgp.gov.cn/） 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不得再参与本项目投标（响应）。（提供《投标函》）</w:t>
            </w:r>
          </w:p>
        </w:tc>
      </w:tr>
      <w:tr>
        <w:tc>
          <w:tcPr>
            <w:tcW w:type="dxa" w:w="890"/>
          </w:tcPr>
          <w:p>
            <w:r>
              <w:rPr/>
              <w:t>8</w:t>
            </w:r>
          </w:p>
        </w:tc>
        <w:tc>
          <w:tcPr>
            <w:tcW w:type="dxa" w:w="3178"/>
          </w:tcPr>
          <w:p>
            <w:r>
              <w:rPr/>
              <w:t>本采购包专门面向中小企业采购</w:t>
            </w:r>
          </w:p>
        </w:tc>
        <w:tc>
          <w:tcPr>
            <w:tcW w:type="dxa" w:w="4238"/>
          </w:tcPr>
          <w:p>
            <w:r>
              <w:rPr/>
              <w:t>参与的供应商（联合体）提供的货物全部由符合政策要求的中小企业制造。</w:t>
            </w:r>
          </w:p>
        </w:tc>
      </w:tr>
    </w:tbl>
    <w:p/>
    <w:p>
      <w:pPr>
        <w:ind w:firstLine="480"/>
      </w:pPr>
      <w:r>
        <w:rPr/>
        <w:t>表二符合性审查表：</w:t>
      </w:r>
    </w:p>
    <w:p>
      <w:pPr>
        <w:ind w:firstLine="480"/>
      </w:pPr>
    </w:p>
    <w:p/>
    <w:p>
      <w:r>
        <w:rPr/>
        <w:t>采购包1（广州市南沙区大岗镇新冠肺炎疫情防控物资用品采购项目）：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按对应格式文件填写、签署、盖章；</w:t>
            </w:r>
          </w:p>
        </w:tc>
      </w:tr>
      <w:tr>
        <w:tc>
          <w:tcPr>
            <w:tcW w:type="dxa" w:w="890"/>
          </w:tcPr>
          <w:p>
            <w:r>
              <w:rPr/>
              <w:t>2</w:t>
            </w:r>
          </w:p>
        </w:tc>
        <w:tc>
          <w:tcPr>
            <w:tcW w:type="dxa" w:w="3178"/>
          </w:tcPr>
          <w:p>
            <w:r>
              <w:rPr/>
              <w:t>法定代表人证明书及授权委托书</w:t>
            </w:r>
          </w:p>
        </w:tc>
        <w:tc>
          <w:tcPr>
            <w:tcW w:type="dxa" w:w="4238"/>
          </w:tcPr>
          <w:p>
            <w:r>
              <w:rPr/>
              <w:t>按对应格式文件签署、盖章；</w:t>
            </w:r>
          </w:p>
        </w:tc>
      </w:tr>
      <w:tr>
        <w:tc>
          <w:tcPr>
            <w:tcW w:type="dxa" w:w="890"/>
          </w:tcPr>
          <w:p>
            <w:r>
              <w:rPr/>
              <w:t>3</w:t>
            </w:r>
          </w:p>
        </w:tc>
        <w:tc>
          <w:tcPr>
            <w:tcW w:type="dxa" w:w="3178"/>
          </w:tcPr>
          <w:p>
            <w:r>
              <w:rPr/>
              <w:t>报价有效期</w:t>
            </w:r>
          </w:p>
        </w:tc>
        <w:tc>
          <w:tcPr>
            <w:tcW w:type="dxa" w:w="4238"/>
          </w:tcPr>
          <w:p>
            <w:r>
              <w:rPr/>
              <w:t>有效期为90天（日历天）。</w:t>
            </w:r>
          </w:p>
        </w:tc>
      </w:tr>
      <w:tr>
        <w:tc>
          <w:tcPr>
            <w:tcW w:type="dxa" w:w="890"/>
          </w:tcPr>
          <w:p>
            <w:r>
              <w:rPr/>
              <w:t>4</w:t>
            </w:r>
          </w:p>
        </w:tc>
        <w:tc>
          <w:tcPr>
            <w:tcW w:type="dxa" w:w="3178"/>
          </w:tcPr>
          <w:p>
            <w:r>
              <w:rPr/>
              <w:t>签署、盖章</w:t>
            </w:r>
          </w:p>
        </w:tc>
        <w:tc>
          <w:tcPr>
            <w:tcW w:type="dxa" w:w="4238"/>
          </w:tcPr>
          <w:p>
            <w:r>
              <w:rPr/>
              <w:t>按照招标文件规定要求签署、盖章。</w:t>
            </w:r>
          </w:p>
        </w:tc>
      </w:tr>
      <w:tr>
        <w:tc>
          <w:tcPr>
            <w:tcW w:type="dxa" w:w="890"/>
          </w:tcPr>
          <w:p>
            <w:r>
              <w:rPr/>
              <w:t>5</w:t>
            </w:r>
          </w:p>
        </w:tc>
        <w:tc>
          <w:tcPr>
            <w:tcW w:type="dxa" w:w="3178"/>
          </w:tcPr>
          <w:p>
            <w:r>
              <w:rPr/>
              <w:t>投标报价</w:t>
            </w:r>
          </w:p>
        </w:tc>
        <w:tc>
          <w:tcPr>
            <w:tcW w:type="dxa" w:w="4238"/>
          </w:tcPr>
          <w:p>
            <w:r>
              <w:rPr/>
              <w:t>投标报价是唯一确定且没超过采购预算；关键、主要内容无漏项。</w:t>
            </w:r>
          </w:p>
        </w:tc>
      </w:tr>
      <w:tr>
        <w:tc>
          <w:tcPr>
            <w:tcW w:type="dxa" w:w="890"/>
          </w:tcPr>
          <w:p>
            <w:r>
              <w:rPr/>
              <w:t>6</w:t>
            </w:r>
          </w:p>
        </w:tc>
        <w:tc>
          <w:tcPr>
            <w:tcW w:type="dxa" w:w="3178"/>
          </w:tcPr>
          <w:p>
            <w:r>
              <w:rPr/>
              <w:t>报价合理性</w:t>
            </w:r>
          </w:p>
        </w:tc>
        <w:tc>
          <w:tcPr>
            <w:tcW w:type="dxa" w:w="4238"/>
          </w:tcPr>
          <w:p>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7</w:t>
            </w:r>
          </w:p>
        </w:tc>
        <w:tc>
          <w:tcPr>
            <w:tcW w:type="dxa" w:w="3178"/>
          </w:tcPr>
          <w:p>
            <w:r>
              <w:rPr/>
              <w:t>★号条款</w:t>
            </w:r>
          </w:p>
        </w:tc>
        <w:tc>
          <w:tcPr>
            <w:tcW w:type="dxa" w:w="4238"/>
          </w:tcPr>
          <w:p>
            <w:r>
              <w:rPr/>
              <w:t>能满足采购人需求中的主要参数（带“★”号条款）。</w:t>
            </w:r>
          </w:p>
        </w:tc>
      </w:tr>
      <w:tr>
        <w:tc>
          <w:tcPr>
            <w:tcW w:type="dxa" w:w="890"/>
          </w:tcPr>
          <w:p>
            <w:r>
              <w:rPr/>
              <w:t>8</w:t>
            </w:r>
          </w:p>
        </w:tc>
        <w:tc>
          <w:tcPr>
            <w:tcW w:type="dxa" w:w="3178"/>
          </w:tcPr>
          <w:p>
            <w:r>
              <w:rPr/>
              <w:t>招标文件规定的无效投标条款</w:t>
            </w:r>
          </w:p>
        </w:tc>
        <w:tc>
          <w:tcPr>
            <w:tcW w:type="dxa" w:w="4238"/>
          </w:tcPr>
          <w:p>
            <w:r>
              <w:rPr/>
              <w:t>无招标文件中规定的被视为无效投标的其它条款的。</w:t>
            </w:r>
          </w:p>
        </w:tc>
      </w:tr>
      <w:tr>
        <w:tc>
          <w:tcPr>
            <w:tcW w:type="dxa" w:w="890"/>
          </w:tcPr>
          <w:p>
            <w:r>
              <w:rPr/>
              <w:t>9</w:t>
            </w:r>
          </w:p>
        </w:tc>
        <w:tc>
          <w:tcPr>
            <w:tcW w:type="dxa" w:w="3178"/>
          </w:tcPr>
          <w:p>
            <w:r>
              <w:rPr/>
              <w:t>投标无效的其他情形</w:t>
            </w:r>
          </w:p>
        </w:tc>
        <w:tc>
          <w:tcPr>
            <w:tcW w:type="dxa" w:w="4238"/>
          </w:tcPr>
          <w:p>
            <w:r>
              <w:rPr/>
              <w:t>未出现法律、法规、规章规定属于投标无效的其他情形。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采购包1广州市南沙区大岗镇新冠肺炎疫情防控物资用品采购项目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(10.0分)</w:t>
            </w:r>
          </w:p>
        </w:tc>
        <w:tc>
          <w:tcPr>
            <w:tcW w:type="dxa" w:w="5076"/>
          </w:tcPr>
          <w:p>
            <w:pPr>
              <w:jc w:val="left"/>
            </w:pPr>
            <w:r>
              <w:rPr/>
              <w:t>根据投标人对采购需求中的“技术参数要求”响应情况进行评审：带“▲”的参数为重要参数，全部满足得10分，每负偏离一个扣1分。 备注：根据招标文件的《技术和服务要求响应表》进行评审。</w:t>
            </w:r>
          </w:p>
        </w:tc>
      </w:tr>
      <w:tr>
        <w:tc>
          <w:tcPr>
            <w:tcW w:type="dxa" w:w="922"/>
            <w:gridSpan w:val="2"/>
            <w:vMerge/>
          </w:tcPr>
          <w:p/>
        </w:tc>
        <w:tc>
          <w:tcPr>
            <w:tcW w:type="dxa" w:w="2307"/>
          </w:tcPr>
          <w:p>
            <w:pPr>
              <w:jc w:val="left"/>
            </w:pPr>
            <w:r>
              <w:rPr/>
              <w:t>项目实施背景、难点和关键点的理解程度 (10.0分)</w:t>
            </w:r>
            <w:r>
              <w:rPr/>
              <w:t>，（等次分值选择：</w:t>
            </w:r>
            <w:r>
              <w:rPr/>
              <w:t>0.0;</w:t>
            </w:r>
            <w:r>
              <w:rPr/>
              <w:t>1.0;</w:t>
            </w:r>
            <w:r>
              <w:rPr/>
              <w:t>4.0;</w:t>
            </w:r>
            <w:r>
              <w:rPr/>
              <w:t>7.0;</w:t>
            </w:r>
            <w:r>
              <w:rPr/>
              <w:t>10.0;</w:t>
            </w:r>
            <w:r>
              <w:rPr/>
              <w:t>）</w:t>
            </w:r>
          </w:p>
        </w:tc>
        <w:tc>
          <w:tcPr>
            <w:tcW w:type="dxa" w:w="5076"/>
          </w:tcPr>
          <w:p>
            <w:pPr>
              <w:jc w:val="left"/>
            </w:pPr>
            <w:r>
              <w:rPr/>
              <w:t>根据投标人对本项目实施背景、难点和关键点的理解程度进行评审： 1、了解详实、理解深刻、分析透彻、描述清晰、完整，得10分； 2、了解清晰、理解准确、分析较透彻、描述较清晰、较完整，得7分； 3、了解一般、理解一般、分析一般、描述一般，得4分； 4、了解、理解、分析、描述尚可行，得1分； 5、不提供方案不得分。</w:t>
            </w:r>
          </w:p>
        </w:tc>
      </w:tr>
      <w:tr>
        <w:tc>
          <w:tcPr>
            <w:tcW w:type="dxa" w:w="922"/>
            <w:gridSpan w:val="2"/>
            <w:vMerge/>
          </w:tcPr>
          <w:p/>
        </w:tc>
        <w:tc>
          <w:tcPr>
            <w:tcW w:type="dxa" w:w="2307"/>
          </w:tcPr>
          <w:p>
            <w:pPr>
              <w:jc w:val="left"/>
            </w:pPr>
            <w:r>
              <w:rPr/>
              <w:t>供货服务方案 (10.0分)</w:t>
            </w:r>
            <w:r>
              <w:rPr/>
              <w:t>，（等次分值选择：</w:t>
            </w:r>
            <w:r>
              <w:rPr/>
              <w:t>0.0;</w:t>
            </w:r>
            <w:r>
              <w:rPr/>
              <w:t>4.0;</w:t>
            </w:r>
            <w:r>
              <w:rPr/>
              <w:t>7.0;</w:t>
            </w:r>
            <w:r>
              <w:rPr/>
              <w:t>10.0;</w:t>
            </w:r>
            <w:r>
              <w:rPr/>
              <w:t>）</w:t>
            </w:r>
          </w:p>
        </w:tc>
        <w:tc>
          <w:tcPr>
            <w:tcW w:type="dxa" w:w="5076"/>
          </w:tcPr>
          <w:p>
            <w:pPr>
              <w:jc w:val="left"/>
            </w:pPr>
            <w:r>
              <w:rPr/>
              <w:t>根据投标人的供货服务方案（包括配送方式）等进行比较： 1、供货服务方案非常全面、非常具体、非常合理，得10分； 2、供货服务方案较全面、较具体、较合理，得 7分； 3、供货服务方案不全面、不具体，合理性差，得 4分。 4 、不提供不得分。</w:t>
            </w:r>
          </w:p>
        </w:tc>
      </w:tr>
      <w:tr>
        <w:tc>
          <w:tcPr>
            <w:tcW w:type="dxa" w:w="922"/>
            <w:gridSpan w:val="2"/>
            <w:vMerge/>
          </w:tcPr>
          <w:p/>
        </w:tc>
        <w:tc>
          <w:tcPr>
            <w:tcW w:type="dxa" w:w="2307"/>
          </w:tcPr>
          <w:p>
            <w:pPr>
              <w:jc w:val="left"/>
            </w:pPr>
            <w:r>
              <w:rPr/>
              <w:t>售后服务方案 (10.0分)</w:t>
            </w:r>
            <w:r>
              <w:rPr/>
              <w:t>，（等次分值选择：</w:t>
            </w:r>
            <w:r>
              <w:rPr/>
              <w:t>0.0;</w:t>
            </w:r>
            <w:r>
              <w:rPr/>
              <w:t>4.0;</w:t>
            </w:r>
            <w:r>
              <w:rPr/>
              <w:t>7.0;</w:t>
            </w:r>
            <w:r>
              <w:rPr/>
              <w:t>10.0;</w:t>
            </w:r>
            <w:r>
              <w:rPr/>
              <w:t>）</w:t>
            </w:r>
          </w:p>
        </w:tc>
        <w:tc>
          <w:tcPr>
            <w:tcW w:type="dxa" w:w="5076"/>
          </w:tcPr>
          <w:p>
            <w:pPr>
              <w:jc w:val="left"/>
            </w:pPr>
            <w:r>
              <w:rPr/>
              <w:t>根据投标人提供的售后服务方案进行综合评审： 1、投标人提供售后服务方案有良好解决问题的能力、有充足的备品备件的，得10分； 2、投标人提供售后服务方案有较强的解决问题的能力、有较多的备品备件的，得7分； 3、投标人提供售后服务方案有基本解决问题的能力、有基本备品备件的，得4分； 4、不提供不得分。</w:t>
            </w:r>
          </w:p>
        </w:tc>
      </w:tr>
      <w:tr>
        <w:tc>
          <w:tcPr>
            <w:tcW w:type="dxa" w:w="922"/>
            <w:gridSpan w:val="2"/>
            <w:vMerge/>
          </w:tcPr>
          <w:p/>
        </w:tc>
        <w:tc>
          <w:tcPr>
            <w:tcW w:type="dxa" w:w="2307"/>
          </w:tcPr>
          <w:p>
            <w:pPr>
              <w:jc w:val="left"/>
            </w:pPr>
            <w:r>
              <w:rPr/>
              <w:t>应急配送方案 (10.0分)</w:t>
            </w:r>
            <w:r>
              <w:rPr/>
              <w:t>，（等次分值选择：</w:t>
            </w:r>
            <w:r>
              <w:rPr/>
              <w:t>0.0;</w:t>
            </w:r>
            <w:r>
              <w:rPr/>
              <w:t>4.0;</w:t>
            </w:r>
            <w:r>
              <w:rPr/>
              <w:t>7.0;</w:t>
            </w:r>
            <w:r>
              <w:rPr/>
              <w:t>10.0;</w:t>
            </w:r>
            <w:r>
              <w:rPr/>
              <w:t>）</w:t>
            </w:r>
          </w:p>
        </w:tc>
        <w:tc>
          <w:tcPr>
            <w:tcW w:type="dxa" w:w="5076"/>
          </w:tcPr>
          <w:p>
            <w:pPr>
              <w:jc w:val="left"/>
            </w:pPr>
            <w:r>
              <w:rPr/>
              <w:t>为遇到紧急突发配送情况作准备，根据投标人制定的应急配送方案进行评审： 1、应急配送方案全面、具体、合理，得10分； 2、应急配送方案方案较全面、较合理、较具体，得7分； 3、应急配送方案方案基本合理，简单，得4分。 4、未提供不得分。</w:t>
            </w:r>
          </w:p>
        </w:tc>
      </w:tr>
      <w:tr>
        <w:tc>
          <w:tcPr>
            <w:tcW w:type="dxa" w:w="922"/>
            <w:gridSpan w:val="2"/>
            <w:vMerge w:val="restart"/>
          </w:tcPr>
          <w:p>
            <w:pPr>
              <w:jc w:val="center"/>
            </w:pPr>
            <w:r>
              <w:rPr/>
              <w:t>商务部分</w:t>
            </w:r>
          </w:p>
        </w:tc>
        <w:tc>
          <w:tcPr>
            <w:tcW w:type="dxa" w:w="2307"/>
          </w:tcPr>
          <w:p>
            <w:pPr>
              <w:jc w:val="left"/>
            </w:pPr>
            <w:r>
              <w:rPr/>
              <w:t>同类业绩经验 (4.0分)</w:t>
            </w:r>
          </w:p>
        </w:tc>
        <w:tc>
          <w:tcPr>
            <w:tcW w:type="dxa" w:w="5076"/>
          </w:tcPr>
          <w:p>
            <w:pPr>
              <w:jc w:val="left"/>
            </w:pPr>
            <w:r>
              <w:rPr/>
              <w:t>根据投标人自2019年1月1日至今承接的同类项目业绩进行评分（有效业绩的日期认定以签订合同时间为准）：每提供一项得0.5分，本项最高得4分。注：响应时须提供合同关键页（含签订合同双方的单位名称、合同项目名称签订合同双方的落款盖章、签订日期的关键页）复印件，不提供不得分。</w:t>
            </w:r>
          </w:p>
        </w:tc>
      </w:tr>
      <w:tr>
        <w:tc>
          <w:tcPr>
            <w:tcW w:type="dxa" w:w="922"/>
            <w:gridSpan w:val="2"/>
            <w:vMerge/>
          </w:tcPr>
          <w:p/>
        </w:tc>
        <w:tc>
          <w:tcPr>
            <w:tcW w:type="dxa" w:w="2307"/>
          </w:tcPr>
          <w:p>
            <w:pPr>
              <w:jc w:val="left"/>
            </w:pPr>
            <w:r>
              <w:rPr/>
              <w:t>服务响应承诺 (7.0分)</w:t>
            </w:r>
          </w:p>
        </w:tc>
        <w:tc>
          <w:tcPr>
            <w:tcW w:type="dxa" w:w="5076"/>
          </w:tcPr>
          <w:p>
            <w:pPr>
              <w:jc w:val="left"/>
            </w:pPr>
            <w:r>
              <w:rPr/>
              <w:t>承诺接到采购人通知，规定时间内到达现场(广州市南沙区大岗镇人民政府)或与会现场处理问题及商洽，与采购人日常配合能高效落实： （1）承诺接到采购人通知，30分钟（含）以内到达现场或与会现场处理问题及商洽，与采购人日常配合能高效落实，得7分； （2）承诺接到采购人通知，30分钟（不含）至1小时（含）到达现场或与会现场处理问题及商洽，与采购人日常配合一般，得4分； （3）承诺接到采购人通知，1小时（不含）以上到达现场或与会现场处理问题及商洽，与采购人日常配合较差，得1分； （4）无或其他不得分。 备注：提供承诺函及相关证明材料。（提供书面承诺并加盖公章及相关证明资料，格式自定）</w:t>
            </w:r>
          </w:p>
        </w:tc>
      </w:tr>
      <w:tr>
        <w:tc>
          <w:tcPr>
            <w:tcW w:type="dxa" w:w="922"/>
            <w:gridSpan w:val="2"/>
            <w:vMerge/>
          </w:tcPr>
          <w:p/>
        </w:tc>
        <w:tc>
          <w:tcPr>
            <w:tcW w:type="dxa" w:w="2307"/>
          </w:tcPr>
          <w:p>
            <w:pPr>
              <w:jc w:val="left"/>
            </w:pPr>
            <w:r>
              <w:rPr/>
              <w:t>获得政府有关部门颁发的奖项或表彰 (4.0分)</w:t>
            </w:r>
          </w:p>
        </w:tc>
        <w:tc>
          <w:tcPr>
            <w:tcW w:type="dxa" w:w="5076"/>
          </w:tcPr>
          <w:p>
            <w:pPr>
              <w:jc w:val="left"/>
            </w:pPr>
            <w:r>
              <w:rPr/>
              <w:t>投标人获得政府相关部门颁发的奖项或表彰，每个1分，本项最高4分。 （提供相关证明材料复印件并加盖公章）</w:t>
            </w:r>
          </w:p>
        </w:tc>
      </w:tr>
      <w:tr>
        <w:tc>
          <w:tcPr>
            <w:tcW w:type="dxa" w:w="922"/>
            <w:gridSpan w:val="2"/>
            <w:vMerge/>
          </w:tcPr>
          <w:p/>
        </w:tc>
        <w:tc>
          <w:tcPr>
            <w:tcW w:type="dxa" w:w="2307"/>
          </w:tcPr>
          <w:p>
            <w:pPr>
              <w:jc w:val="left"/>
            </w:pPr>
            <w:r>
              <w:rPr/>
              <w:t>投标人技术力量水平 (5.0分)</w:t>
            </w:r>
          </w:p>
        </w:tc>
        <w:tc>
          <w:tcPr>
            <w:tcW w:type="dxa" w:w="5076"/>
          </w:tcPr>
          <w:p>
            <w:pPr>
              <w:jc w:val="left"/>
            </w:pPr>
            <w:r>
              <w:rPr/>
              <w:t>投标人或所投产品供货商具有自主知识产权，每一项得1分，最多5分。 （提供相关证书复印件并加盖公章）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ind w:firstLine="1446"/>
        <w:jc w:val="center"/>
      </w:pPr>
      <w:r>
        <w:rPr>
          <w:b/>
          <w:sz w:val="72"/>
        </w:rPr>
        <w:t>广东省政府采购</w:t>
      </w:r>
    </w:p>
    <w:p>
      <w:pPr>
        <w:ind w:firstLine="420"/>
        <w:jc w:val="both"/>
      </w:pPr>
    </w:p>
    <w:p>
      <w:pPr>
        <w:ind w:firstLine="420"/>
        <w:jc w:val="center"/>
      </w:pPr>
    </w:p>
    <w:p>
      <w:pPr>
        <w:ind w:firstLine="1044"/>
        <w:jc w:val="center"/>
      </w:pPr>
      <w:r>
        <w:rPr>
          <w:b/>
          <w:sz w:val="52"/>
        </w:rPr>
        <w:t>合　同　书</w:t>
      </w:r>
    </w:p>
    <w:p>
      <w:pPr>
        <w:ind w:firstLine="420"/>
        <w:jc w:val="center"/>
      </w:pPr>
    </w:p>
    <w:p>
      <w:pPr>
        <w:ind w:firstLine="560"/>
        <w:jc w:val="both"/>
      </w:pPr>
    </w:p>
    <w:p>
      <w:pPr>
        <w:ind w:firstLine="560"/>
        <w:jc w:val="both"/>
      </w:pPr>
    </w:p>
    <w:p>
      <w:pPr>
        <w:ind w:firstLine="560"/>
        <w:jc w:val="both"/>
      </w:pPr>
    </w:p>
    <w:p>
      <w:pPr>
        <w:ind w:firstLine="560"/>
        <w:jc w:val="both"/>
      </w:pPr>
    </w:p>
    <w:p>
      <w:pPr>
        <w:ind w:firstLine="420"/>
        <w:jc w:val="center"/>
      </w:pPr>
    </w:p>
    <w:p>
      <w:pPr>
        <w:ind w:firstLine="560"/>
        <w:jc w:val="both"/>
      </w:pPr>
    </w:p>
    <w:p>
      <w:pPr>
        <w:jc w:val="both"/>
      </w:pPr>
    </w:p>
    <w:p>
      <w:pPr>
        <w:ind w:firstLine="562"/>
        <w:jc w:val="both"/>
      </w:pPr>
      <w:r>
        <w:rPr>
          <w:b/>
          <w:sz w:val="28"/>
        </w:rPr>
        <w:t>项目名称：</w:t>
      </w:r>
    </w:p>
    <w:p>
      <w:pPr>
        <w:ind w:firstLine="562"/>
        <w:jc w:val="both"/>
      </w:pPr>
      <w:r>
        <w:rPr>
          <w:b/>
          <w:sz w:val="28"/>
        </w:rPr>
        <w:t>采购计划编号：</w:t>
      </w:r>
    </w:p>
    <w:p>
      <w:pPr>
        <w:ind w:firstLine="562"/>
        <w:jc w:val="both"/>
      </w:pPr>
      <w:r>
        <w:rPr>
          <w:b/>
          <w:sz w:val="28"/>
        </w:rPr>
        <w:t>签订时间：</w:t>
      </w:r>
    </w:p>
    <w:p>
      <w:pPr>
        <w:ind w:firstLine="562"/>
        <w:jc w:val="left"/>
      </w:pPr>
      <w:r>
        <w:rPr>
          <w:b/>
          <w:sz w:val="28"/>
        </w:rPr>
        <w:t>签订地点：</w:t>
      </w:r>
    </w:p>
    <w:p>
      <w:pPr>
        <w:ind w:firstLine="420"/>
        <w:jc w:val="both"/>
      </w:pPr>
    </w:p>
    <w:p>
      <w:pPr>
        <w:jc w:val="both"/>
      </w:pPr>
    </w:p>
    <w:p>
      <w:pPr>
        <w:ind w:firstLine="422"/>
        <w:jc w:val="both"/>
      </w:pPr>
    </w:p>
    <w:p>
      <w:r>
        <w:rPr>
          <w:b/>
          <w:sz w:val="24"/>
        </w:rPr>
        <w:t>甲方：</w:t>
      </w:r>
    </w:p>
    <w:p>
      <w:r>
        <w:rPr/>
        <w:t xml:space="preserve"> </w:t>
      </w:r>
    </w:p>
    <w:p>
      <w:pPr>
        <w:ind w:firstLine="420"/>
        <w:jc w:val="both"/>
      </w:pPr>
      <w:r>
        <w:rPr>
          <w:sz w:val="24"/>
        </w:rPr>
        <w:t>地址：</w:t>
      </w:r>
    </w:p>
    <w:p>
      <w:pPr>
        <w:ind w:firstLine="420"/>
        <w:jc w:val="both"/>
      </w:pPr>
      <w:r>
        <w:rPr>
          <w:sz w:val="24"/>
        </w:rPr>
        <w:t>电话：</w:t>
      </w:r>
    </w:p>
    <w:p>
      <w:pPr>
        <w:ind w:firstLine="422"/>
        <w:jc w:val="both"/>
      </w:pPr>
      <w:r>
        <w:rPr>
          <w:b/>
          <w:sz w:val="24"/>
        </w:rPr>
        <w:t>乙方：</w:t>
      </w:r>
    </w:p>
    <w:p>
      <w:pPr>
        <w:ind w:firstLine="420"/>
        <w:jc w:val="both"/>
      </w:pPr>
      <w:r>
        <w:rPr>
          <w:sz w:val="24"/>
        </w:rPr>
        <w:t>地址：</w:t>
      </w:r>
    </w:p>
    <w:p>
      <w:pPr>
        <w:ind w:firstLine="420"/>
        <w:jc w:val="both"/>
      </w:pPr>
      <w:r>
        <w:rPr>
          <w:sz w:val="24"/>
        </w:rPr>
        <w:t>电话：</w:t>
      </w:r>
    </w:p>
    <w:p>
      <w:pPr>
        <w:ind w:firstLine="420"/>
        <w:jc w:val="both"/>
      </w:pPr>
    </w:p>
    <w:p>
      <w:pPr>
        <w:ind w:firstLine="420"/>
        <w:jc w:val="both"/>
      </w:pPr>
      <w:r>
        <w:rPr>
          <w:sz w:val="24"/>
        </w:rPr>
        <w:t>根据《中华人民共和国采购法》、《中华人民共和国民法典》等相关法律法规及广州市南沙区大岗镇新冠肺炎疫情防控医疗用品采购项目招标文件（项目编号：</w:t>
      </w:r>
      <w:r>
        <w:rPr>
          <w:sz w:val="24"/>
        </w:rPr>
        <w:t>PZGKCZ220214</w:t>
      </w:r>
      <w:r>
        <w:rPr>
          <w:sz w:val="24"/>
        </w:rPr>
        <w:t>）的要求，经双方协商，本着平等互利和诚实信用的原则，一致同意签订本合同。</w:t>
      </w:r>
    </w:p>
    <w:p>
      <w:pPr>
        <w:ind w:firstLine="422"/>
        <w:jc w:val="both"/>
      </w:pPr>
      <w:r>
        <w:rPr>
          <w:b/>
          <w:sz w:val="24"/>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846"/>
        <w:gridCol w:w="906"/>
        <w:gridCol w:w="1873"/>
        <w:gridCol w:w="725"/>
        <w:gridCol w:w="725"/>
        <w:gridCol w:w="725"/>
        <w:gridCol w:w="1253"/>
        <w:gridCol w:w="1253"/>
      </w:tblGrid>
      <w:tr>
        <w:tc>
          <w:tcPr>
            <w:tcW w:type="dxa" w:w="846"/>
            <w:tcBorders>
              <w:top w:val="single" w:color="000000" w:sz="4"/>
              <w:left w:val="single" w:color="000000" w:sz="4"/>
              <w:bottom w:val="single" w:color="000000" w:sz="4"/>
              <w:right w:val="single" w:color="000000" w:sz="4"/>
            </w:tcBorders>
            <w:vAlign w:val="top"/>
          </w:tcPr>
          <w:p>
            <w:pPr>
              <w:jc w:val="both"/>
            </w:pPr>
            <w:r>
              <w:rPr>
                <w:b/>
                <w:sz w:val="24"/>
              </w:rPr>
              <w:t>序号</w:t>
            </w:r>
          </w:p>
        </w:tc>
        <w:tc>
          <w:tcPr>
            <w:tcW w:type="dxa" w:w="906"/>
            <w:tcBorders>
              <w:top w:val="single" w:color="000000" w:sz="4"/>
              <w:left w:val="none" w:color="000000" w:sz="4"/>
              <w:bottom w:val="single" w:color="000000" w:sz="4"/>
              <w:right w:val="single" w:color="000000" w:sz="4"/>
            </w:tcBorders>
            <w:vAlign w:val="top"/>
          </w:tcPr>
          <w:p>
            <w:pPr>
              <w:jc w:val="both"/>
            </w:pPr>
            <w:r>
              <w:rPr>
                <w:b/>
                <w:sz w:val="24"/>
              </w:rPr>
              <w:t>货物名称</w:t>
            </w:r>
          </w:p>
        </w:tc>
        <w:tc>
          <w:tcPr>
            <w:tcW w:type="dxa" w:w="1873"/>
            <w:tcBorders>
              <w:top w:val="single" w:color="000000" w:sz="4"/>
              <w:left w:val="none" w:color="000000" w:sz="4"/>
              <w:bottom w:val="single" w:color="000000" w:sz="4"/>
              <w:right w:val="single" w:color="000000" w:sz="4"/>
            </w:tcBorders>
            <w:vAlign w:val="top"/>
          </w:tcPr>
          <w:p>
            <w:pPr>
              <w:jc w:val="both"/>
            </w:pPr>
            <w:r>
              <w:rPr>
                <w:b/>
                <w:sz w:val="24"/>
              </w:rPr>
              <w:t>规格型号</w:t>
            </w:r>
          </w:p>
        </w:tc>
        <w:tc>
          <w:tcPr>
            <w:tcW w:type="dxa" w:w="725"/>
            <w:tcBorders>
              <w:top w:val="single" w:color="000000" w:sz="4"/>
              <w:left w:val="none" w:color="000000" w:sz="4"/>
              <w:bottom w:val="single" w:color="000000" w:sz="4"/>
              <w:right w:val="single" w:color="000000" w:sz="4"/>
            </w:tcBorders>
            <w:vAlign w:val="top"/>
          </w:tcPr>
          <w:p>
            <w:pPr>
              <w:jc w:val="both"/>
            </w:pPr>
            <w:r>
              <w:rPr>
                <w:b/>
                <w:sz w:val="24"/>
              </w:rPr>
              <w:t>产地</w:t>
            </w:r>
          </w:p>
        </w:tc>
        <w:tc>
          <w:tcPr>
            <w:tcW w:type="dxa" w:w="725"/>
            <w:tcBorders>
              <w:top w:val="single" w:color="000000" w:sz="4"/>
              <w:left w:val="none" w:color="000000" w:sz="4"/>
              <w:bottom w:val="single" w:color="000000" w:sz="4"/>
              <w:right w:val="single" w:color="000000" w:sz="4"/>
            </w:tcBorders>
            <w:vAlign w:val="top"/>
          </w:tcPr>
          <w:p>
            <w:pPr>
              <w:jc w:val="both"/>
            </w:pPr>
            <w:r>
              <w:rPr>
                <w:b/>
                <w:sz w:val="24"/>
              </w:rPr>
              <w:t>数量</w:t>
            </w:r>
          </w:p>
        </w:tc>
        <w:tc>
          <w:tcPr>
            <w:tcW w:type="dxa" w:w="725"/>
            <w:tcBorders>
              <w:top w:val="single" w:color="000000" w:sz="4"/>
              <w:left w:val="none" w:color="000000" w:sz="4"/>
              <w:bottom w:val="single" w:color="000000" w:sz="4"/>
              <w:right w:val="single" w:color="000000" w:sz="4"/>
            </w:tcBorders>
            <w:vAlign w:val="top"/>
          </w:tcPr>
          <w:p>
            <w:pPr>
              <w:jc w:val="both"/>
            </w:pPr>
            <w:r>
              <w:rPr>
                <w:b/>
                <w:sz w:val="24"/>
              </w:rPr>
              <w:t>单位</w:t>
            </w:r>
          </w:p>
        </w:tc>
        <w:tc>
          <w:tcPr>
            <w:tcW w:type="dxa" w:w="1253"/>
            <w:tcBorders>
              <w:top w:val="single" w:color="000000" w:sz="4"/>
              <w:left w:val="none" w:color="000000" w:sz="4"/>
              <w:bottom w:val="single" w:color="000000" w:sz="4"/>
              <w:right w:val="single" w:color="000000" w:sz="4"/>
            </w:tcBorders>
            <w:vAlign w:val="top"/>
          </w:tcPr>
          <w:p>
            <w:pPr>
              <w:jc w:val="both"/>
            </w:pPr>
            <w:r>
              <w:rPr>
                <w:b/>
                <w:sz w:val="24"/>
              </w:rPr>
              <w:t>单价（元）</w:t>
            </w:r>
          </w:p>
        </w:tc>
        <w:tc>
          <w:tcPr>
            <w:tcW w:type="dxa" w:w="1253"/>
            <w:tcBorders>
              <w:top w:val="single" w:color="000000" w:sz="4"/>
              <w:left w:val="none" w:color="000000" w:sz="4"/>
              <w:bottom w:val="single" w:color="000000" w:sz="4"/>
              <w:right w:val="single" w:color="000000" w:sz="4"/>
            </w:tcBorders>
            <w:vAlign w:val="top"/>
          </w:tcPr>
          <w:p>
            <w:pPr>
              <w:jc w:val="both"/>
            </w:pPr>
            <w:r>
              <w:rPr>
                <w:b/>
                <w:sz w:val="24"/>
              </w:rPr>
              <w:t>合计（元）</w:t>
            </w:r>
          </w:p>
        </w:tc>
      </w:tr>
      <w:tr>
        <w:tc>
          <w:tcPr>
            <w:tcW w:type="dxa" w:w="846"/>
            <w:tcBorders>
              <w:top w:val="none" w:color="000000" w:sz="4"/>
              <w:left w:val="single" w:color="000000" w:sz="4"/>
              <w:bottom w:val="single" w:color="000000" w:sz="4"/>
              <w:right w:val="single" w:color="000000" w:sz="4"/>
            </w:tcBorders>
            <w:vAlign w:val="top"/>
          </w:tcPr>
          <w:p>
            <w:pPr>
              <w:ind w:firstLine="420"/>
              <w:jc w:val="both"/>
            </w:pPr>
            <w:r>
              <w:rPr>
                <w:sz w:val="24"/>
              </w:rPr>
              <w:t>1</w:t>
            </w:r>
          </w:p>
        </w:tc>
        <w:tc>
          <w:tcPr>
            <w:tcW w:type="dxa" w:w="906"/>
            <w:tcBorders>
              <w:top w:val="none" w:color="000000" w:sz="4"/>
              <w:left w:val="none" w:color="000000" w:sz="4"/>
              <w:bottom w:val="single" w:color="000000" w:sz="4"/>
              <w:right w:val="single" w:color="000000" w:sz="4"/>
            </w:tcBorders>
            <w:vAlign w:val="top"/>
          </w:tcPr>
          <w:p>
            <w:pPr>
              <w:ind w:firstLine="420"/>
              <w:jc w:val="left"/>
            </w:pPr>
          </w:p>
        </w:tc>
        <w:tc>
          <w:tcPr>
            <w:tcW w:type="dxa" w:w="1873"/>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1253"/>
            <w:tcBorders>
              <w:top w:val="none" w:color="000000" w:sz="4"/>
              <w:left w:val="none" w:color="000000" w:sz="4"/>
              <w:bottom w:val="single" w:color="000000" w:sz="4"/>
              <w:right w:val="single" w:color="000000" w:sz="4"/>
            </w:tcBorders>
            <w:vAlign w:val="top"/>
          </w:tcPr>
          <w:p>
            <w:pPr>
              <w:ind w:firstLine="420"/>
              <w:jc w:val="center"/>
            </w:pPr>
          </w:p>
        </w:tc>
        <w:tc>
          <w:tcPr>
            <w:tcW w:type="dxa" w:w="1253"/>
            <w:tcBorders>
              <w:top w:val="none" w:color="000000" w:sz="4"/>
              <w:left w:val="none" w:color="000000" w:sz="4"/>
              <w:bottom w:val="single" w:color="000000" w:sz="4"/>
              <w:right w:val="single" w:color="000000" w:sz="4"/>
            </w:tcBorders>
            <w:vAlign w:val="top"/>
          </w:tcPr>
          <w:p>
            <w:pPr>
              <w:ind w:firstLine="420"/>
              <w:jc w:val="center"/>
            </w:pPr>
          </w:p>
        </w:tc>
      </w:tr>
      <w:tr>
        <w:tc>
          <w:tcPr>
            <w:tcW w:type="dxa" w:w="846"/>
            <w:tcBorders>
              <w:top w:val="none" w:color="000000" w:sz="4"/>
              <w:left w:val="single" w:color="000000" w:sz="4"/>
              <w:bottom w:val="single" w:color="000000" w:sz="4"/>
              <w:right w:val="single" w:color="000000" w:sz="4"/>
            </w:tcBorders>
            <w:vAlign w:val="top"/>
          </w:tcPr>
          <w:p>
            <w:pPr>
              <w:ind w:firstLine="420"/>
              <w:jc w:val="both"/>
            </w:pPr>
            <w:r>
              <w:rPr>
                <w:sz w:val="24"/>
              </w:rPr>
              <w:t>2</w:t>
            </w:r>
          </w:p>
        </w:tc>
        <w:tc>
          <w:tcPr>
            <w:tcW w:type="dxa" w:w="906"/>
            <w:tcBorders>
              <w:top w:val="none" w:color="000000" w:sz="4"/>
              <w:left w:val="none" w:color="000000" w:sz="4"/>
              <w:bottom w:val="single" w:color="000000" w:sz="4"/>
              <w:right w:val="single" w:color="000000" w:sz="4"/>
            </w:tcBorders>
            <w:vAlign w:val="top"/>
          </w:tcPr>
          <w:p>
            <w:pPr>
              <w:ind w:firstLine="420"/>
              <w:jc w:val="left"/>
            </w:pPr>
          </w:p>
        </w:tc>
        <w:tc>
          <w:tcPr>
            <w:tcW w:type="dxa" w:w="1873"/>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1253"/>
            <w:tcBorders>
              <w:top w:val="none" w:color="000000" w:sz="4"/>
              <w:left w:val="none" w:color="000000" w:sz="4"/>
              <w:bottom w:val="single" w:color="000000" w:sz="4"/>
              <w:right w:val="single" w:color="000000" w:sz="4"/>
            </w:tcBorders>
            <w:vAlign w:val="top"/>
          </w:tcPr>
          <w:p>
            <w:pPr>
              <w:ind w:firstLine="420"/>
              <w:jc w:val="center"/>
            </w:pPr>
          </w:p>
        </w:tc>
        <w:tc>
          <w:tcPr>
            <w:tcW w:type="dxa" w:w="1253"/>
            <w:tcBorders>
              <w:top w:val="none" w:color="000000" w:sz="4"/>
              <w:left w:val="none" w:color="000000" w:sz="4"/>
              <w:bottom w:val="single" w:color="000000" w:sz="4"/>
              <w:right w:val="single" w:color="000000" w:sz="4"/>
            </w:tcBorders>
            <w:vAlign w:val="top"/>
          </w:tcPr>
          <w:p>
            <w:pPr>
              <w:ind w:firstLine="420"/>
              <w:jc w:val="center"/>
            </w:pPr>
          </w:p>
        </w:tc>
      </w:tr>
      <w:tr>
        <w:tc>
          <w:tcPr>
            <w:tcW w:type="dxa" w:w="846"/>
            <w:tcBorders>
              <w:top w:val="none" w:color="000000" w:sz="4"/>
              <w:left w:val="single" w:color="000000" w:sz="4"/>
              <w:bottom w:val="single" w:color="000000" w:sz="4"/>
              <w:right w:val="single" w:color="000000" w:sz="4"/>
            </w:tcBorders>
            <w:vAlign w:val="top"/>
          </w:tcPr>
          <w:p>
            <w:pPr>
              <w:ind w:firstLine="420"/>
              <w:jc w:val="both"/>
            </w:pPr>
            <w:r>
              <w:rPr>
                <w:sz w:val="24"/>
              </w:rPr>
              <w:t>...</w:t>
            </w:r>
          </w:p>
        </w:tc>
        <w:tc>
          <w:tcPr>
            <w:tcW w:type="dxa" w:w="906"/>
            <w:tcBorders>
              <w:top w:val="none" w:color="000000" w:sz="4"/>
              <w:left w:val="none" w:color="000000" w:sz="4"/>
              <w:bottom w:val="single" w:color="000000" w:sz="4"/>
              <w:right w:val="single" w:color="000000" w:sz="4"/>
            </w:tcBorders>
            <w:vAlign w:val="top"/>
          </w:tcPr>
          <w:p>
            <w:pPr>
              <w:ind w:firstLine="420"/>
              <w:jc w:val="left"/>
            </w:pPr>
          </w:p>
        </w:tc>
        <w:tc>
          <w:tcPr>
            <w:tcW w:type="dxa" w:w="1873"/>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1253"/>
            <w:tcBorders>
              <w:top w:val="none" w:color="000000" w:sz="4"/>
              <w:left w:val="none" w:color="000000" w:sz="4"/>
              <w:bottom w:val="single" w:color="000000" w:sz="4"/>
              <w:right w:val="single" w:color="000000" w:sz="4"/>
            </w:tcBorders>
            <w:vAlign w:val="top"/>
          </w:tcPr>
          <w:p>
            <w:pPr>
              <w:ind w:firstLine="420"/>
              <w:jc w:val="center"/>
            </w:pPr>
          </w:p>
        </w:tc>
        <w:tc>
          <w:tcPr>
            <w:tcW w:type="dxa" w:w="1253"/>
            <w:tcBorders>
              <w:top w:val="none" w:color="000000" w:sz="4"/>
              <w:left w:val="none" w:color="000000" w:sz="4"/>
              <w:bottom w:val="single" w:color="000000" w:sz="4"/>
              <w:right w:val="single" w:color="000000" w:sz="4"/>
            </w:tcBorders>
            <w:vAlign w:val="top"/>
          </w:tcPr>
          <w:p>
            <w:pPr>
              <w:ind w:firstLine="420"/>
              <w:jc w:val="center"/>
            </w:pPr>
          </w:p>
        </w:tc>
      </w:tr>
      <w:tr>
        <w:tc>
          <w:tcPr>
            <w:tcW w:type="dxa" w:w="846"/>
            <w:tcBorders>
              <w:top w:val="none" w:color="000000" w:sz="4"/>
              <w:left w:val="single" w:color="000000" w:sz="4"/>
              <w:bottom w:val="single" w:color="000000" w:sz="4"/>
              <w:right w:val="single" w:color="000000" w:sz="4"/>
            </w:tcBorders>
            <w:vAlign w:val="top"/>
          </w:tcPr>
          <w:p>
            <w:pPr>
              <w:jc w:val="both"/>
            </w:pPr>
            <w:r>
              <w:rPr>
                <w:b/>
                <w:sz w:val="24"/>
              </w:rPr>
              <w:t>合计</w:t>
            </w:r>
          </w:p>
        </w:tc>
        <w:tc>
          <w:tcPr>
            <w:tcW w:type="dxa" w:w="906"/>
            <w:tcBorders>
              <w:top w:val="none" w:color="000000" w:sz="4"/>
              <w:left w:val="none" w:color="000000" w:sz="4"/>
              <w:bottom w:val="single" w:color="000000" w:sz="4"/>
              <w:right w:val="single" w:color="000000" w:sz="4"/>
            </w:tcBorders>
            <w:vAlign w:val="top"/>
          </w:tcPr>
          <w:p>
            <w:pPr>
              <w:ind w:firstLine="420"/>
              <w:jc w:val="center"/>
            </w:pPr>
          </w:p>
        </w:tc>
        <w:tc>
          <w:tcPr>
            <w:tcW w:type="dxa" w:w="1873"/>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725"/>
            <w:tcBorders>
              <w:top w:val="none" w:color="000000" w:sz="4"/>
              <w:left w:val="none" w:color="000000" w:sz="4"/>
              <w:bottom w:val="single" w:color="000000" w:sz="4"/>
              <w:right w:val="single" w:color="000000" w:sz="4"/>
            </w:tcBorders>
            <w:vAlign w:val="top"/>
          </w:tcPr>
          <w:p>
            <w:pPr>
              <w:ind w:firstLine="420"/>
              <w:jc w:val="center"/>
            </w:pPr>
          </w:p>
        </w:tc>
        <w:tc>
          <w:tcPr>
            <w:tcW w:type="dxa" w:w="1253"/>
            <w:tcBorders>
              <w:top w:val="none" w:color="000000" w:sz="4"/>
              <w:left w:val="none" w:color="000000" w:sz="4"/>
              <w:bottom w:val="single" w:color="000000" w:sz="4"/>
              <w:right w:val="single" w:color="000000" w:sz="4"/>
            </w:tcBorders>
            <w:vAlign w:val="top"/>
          </w:tcPr>
          <w:p>
            <w:pPr>
              <w:ind w:firstLine="420"/>
              <w:jc w:val="center"/>
            </w:pPr>
          </w:p>
        </w:tc>
        <w:tc>
          <w:tcPr>
            <w:tcW w:type="dxa" w:w="1253"/>
            <w:tcBorders>
              <w:top w:val="none" w:color="000000" w:sz="4"/>
              <w:left w:val="none" w:color="000000" w:sz="4"/>
              <w:bottom w:val="single" w:color="000000" w:sz="4"/>
              <w:right w:val="single" w:color="000000" w:sz="4"/>
            </w:tcBorders>
            <w:vAlign w:val="top"/>
          </w:tcPr>
          <w:p>
            <w:pPr>
              <w:ind w:firstLine="420"/>
              <w:jc w:val="center"/>
            </w:pPr>
          </w:p>
        </w:tc>
      </w:tr>
    </w:tbl>
    <w:p>
      <w:pPr>
        <w:ind w:firstLine="422"/>
        <w:jc w:val="both"/>
      </w:pPr>
      <w:r>
        <w:rPr>
          <w:b/>
          <w:sz w:val="24"/>
        </w:rPr>
        <w:t>注：货物名称内容必须与投标文件中货物名称内容一致。</w:t>
      </w:r>
    </w:p>
    <w:p>
      <w:pPr>
        <w:ind w:firstLine="420"/>
        <w:jc w:val="both"/>
      </w:pPr>
      <w:r>
        <w:rPr>
          <w:sz w:val="24"/>
        </w:rPr>
        <w:t>合同总额包括货款、设计、安装、随机零配件、标配工具、运输保险、调试、培训、质保期服务、各项税费及合同实施过程中不可预见费用等。</w:t>
      </w:r>
    </w:p>
    <w:p>
      <w:pPr>
        <w:ind w:firstLine="422"/>
        <w:jc w:val="both"/>
      </w:pPr>
      <w:r>
        <w:rPr>
          <w:b/>
          <w:sz w:val="24"/>
        </w:rPr>
        <w:t>二、合同金额</w:t>
      </w:r>
    </w:p>
    <w:p>
      <w:pPr>
        <w:ind w:firstLine="420"/>
        <w:jc w:val="both"/>
      </w:pPr>
      <w:r>
        <w:rPr>
          <w:sz w:val="24"/>
        </w:rPr>
        <w:t>合同总金额：</w:t>
      </w:r>
      <w:r>
        <w:rPr>
          <w:sz w:val="24"/>
          <w:u w:val="single"/>
        </w:rPr>
        <w:t>小写元</w:t>
      </w:r>
      <w:r>
        <w:rPr>
          <w:sz w:val="24"/>
          <w:u w:val="single"/>
        </w:rPr>
        <w:t xml:space="preserve">         </w:t>
      </w:r>
      <w:r>
        <w:rPr>
          <w:sz w:val="24"/>
        </w:rPr>
        <w:t>；大写：</w:t>
      </w:r>
      <w:r>
        <w:rPr>
          <w:sz w:val="24"/>
          <w:u w:val="single"/>
        </w:rPr>
        <w:t>人民币</w:t>
      </w:r>
      <w:r>
        <w:rPr>
          <w:sz w:val="24"/>
          <w:u w:val="single"/>
        </w:rPr>
        <w:t xml:space="preserve">         </w:t>
      </w:r>
      <w:r>
        <w:rPr>
          <w:sz w:val="24"/>
        </w:rPr>
        <w:t>；</w:t>
      </w:r>
      <w:r>
        <w:rPr>
          <w:sz w:val="24"/>
          <w:u w:val="single"/>
        </w:rPr>
        <w:t>折扣率</w:t>
      </w:r>
      <w:r>
        <w:rPr>
          <w:sz w:val="24"/>
          <w:u w:val="single"/>
        </w:rPr>
        <w:t xml:space="preserve">      </w:t>
      </w:r>
      <w:r>
        <w:rPr>
          <w:sz w:val="24"/>
        </w:rPr>
        <w:t>。</w:t>
      </w:r>
    </w:p>
    <w:p>
      <w:pPr>
        <w:ind w:firstLine="422"/>
        <w:jc w:val="both"/>
      </w:pPr>
      <w:r>
        <w:rPr>
          <w:b/>
          <w:sz w:val="24"/>
        </w:rPr>
        <w:t>三、货物要求</w:t>
      </w:r>
    </w:p>
    <w:p>
      <w:pPr>
        <w:ind w:firstLine="420"/>
        <w:jc w:val="both"/>
      </w:pPr>
      <w:r>
        <w:rPr>
          <w:sz w:val="24"/>
        </w:rPr>
        <w:t>1</w:t>
      </w:r>
      <w:r>
        <w:rPr>
          <w:sz w:val="24"/>
        </w:rPr>
        <w:t>、乙方提供的货物必须符合中华人民共和国国家安全环保标准。</w:t>
      </w:r>
    </w:p>
    <w:p>
      <w:pPr>
        <w:ind w:firstLine="420"/>
        <w:jc w:val="both"/>
      </w:pPr>
      <w:r>
        <w:rPr>
          <w:sz w:val="24"/>
        </w:rPr>
        <w:t>2</w:t>
      </w:r>
      <w:r>
        <w:rPr>
          <w:sz w:val="24"/>
        </w:rPr>
        <w:t>、货物为应是原厂原装、全新的产品，并符合下列要求：国家标准、行业标准以及该产品的出厂标准，报价设备的包装均应有良好的防湿、防锈、防潮、防雨、防腐及防碰撞的措施。</w:t>
      </w:r>
    </w:p>
    <w:p>
      <w:pPr>
        <w:ind w:firstLine="420"/>
        <w:jc w:val="both"/>
      </w:pPr>
      <w:r>
        <w:rPr>
          <w:sz w:val="24"/>
        </w:rPr>
        <w:t>3</w:t>
      </w:r>
      <w:r>
        <w:rPr>
          <w:sz w:val="24"/>
        </w:rPr>
        <w:t>、货物为原厂商未启封全新包装，具出厂合格证，序列号、包装箱号与出厂批号一致，并可追索查阅。</w:t>
      </w:r>
    </w:p>
    <w:p>
      <w:pPr>
        <w:ind w:firstLine="420"/>
        <w:jc w:val="both"/>
      </w:pPr>
      <w:r>
        <w:rPr>
          <w:sz w:val="24"/>
        </w:rPr>
        <w:t>4</w:t>
      </w:r>
      <w:r>
        <w:rPr>
          <w:sz w:val="24"/>
        </w:rPr>
        <w:t>、乙方应将关键主机设备的用户手册、保修手册、有关单证资料及配备件、随机工具等交付给甲方，使用操作及安全须知等重要资料应附有中文说明。</w:t>
      </w:r>
    </w:p>
    <w:p>
      <w:pPr>
        <w:ind w:firstLine="420"/>
        <w:jc w:val="both"/>
      </w:pPr>
      <w:r>
        <w:rPr>
          <w:sz w:val="24"/>
        </w:rPr>
        <w:t>5</w:t>
      </w:r>
      <w:r>
        <w:rPr>
          <w:sz w:val="24"/>
        </w:rPr>
        <w:t>、如果发现货物的质量和规格与合同规定不符或货物在质量保证期内被证明有缺陷，包括内在缺陷或使用不适当原材料，甲方将有权要求有关部门进行检验，并依据检验证书向乙方索赔。</w:t>
      </w:r>
    </w:p>
    <w:p>
      <w:pPr>
        <w:ind w:firstLine="422"/>
        <w:jc w:val="both"/>
      </w:pPr>
      <w:r>
        <w:rPr>
          <w:b/>
          <w:sz w:val="24"/>
        </w:rPr>
        <w:t>四、知识产权</w:t>
      </w:r>
    </w:p>
    <w:p>
      <w:pPr>
        <w:ind w:firstLine="420"/>
        <w:jc w:val="both"/>
      </w:pPr>
      <w:r>
        <w:rPr>
          <w:sz w:val="24"/>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ind w:firstLine="422"/>
        <w:jc w:val="both"/>
      </w:pPr>
      <w:r>
        <w:rPr>
          <w:b/>
          <w:sz w:val="24"/>
        </w:rPr>
        <w:t>五、交货期、交货方式及交货地点</w:t>
      </w:r>
    </w:p>
    <w:p>
      <w:pPr>
        <w:ind w:firstLine="420"/>
        <w:jc w:val="both"/>
      </w:pPr>
      <w:r>
        <w:rPr>
          <w:sz w:val="24"/>
        </w:rPr>
        <w:t>1</w:t>
      </w:r>
      <w:r>
        <w:rPr>
          <w:sz w:val="24"/>
        </w:rPr>
        <w:t>、交货期：</w:t>
      </w:r>
      <w:r>
        <w:rPr>
          <w:sz w:val="24"/>
        </w:rPr>
        <w:t>从合同签订起一年，期满或结算总金额累计达到采购金额，满足其中一个条件本合同有效期即行终止。</w:t>
      </w:r>
    </w:p>
    <w:p>
      <w:pPr>
        <w:ind w:firstLine="420"/>
        <w:jc w:val="both"/>
      </w:pPr>
      <w:r>
        <w:rPr>
          <w:sz w:val="24"/>
        </w:rPr>
        <w:t>2</w:t>
      </w:r>
      <w:r>
        <w:rPr>
          <w:sz w:val="24"/>
        </w:rPr>
        <w:t>、交货方式：甲方指定方式。</w:t>
      </w:r>
    </w:p>
    <w:p>
      <w:pPr>
        <w:ind w:firstLine="420"/>
        <w:jc w:val="both"/>
      </w:pPr>
      <w:r>
        <w:rPr>
          <w:sz w:val="24"/>
        </w:rPr>
        <w:t>3</w:t>
      </w:r>
      <w:r>
        <w:rPr>
          <w:sz w:val="24"/>
        </w:rPr>
        <w:t>、交货地点：甲方指定地点。</w:t>
      </w:r>
    </w:p>
    <w:p>
      <w:pPr>
        <w:ind w:firstLine="422"/>
        <w:jc w:val="both"/>
      </w:pPr>
      <w:r>
        <w:rPr>
          <w:b/>
          <w:sz w:val="24"/>
        </w:rPr>
        <w:t>六、付款方式</w:t>
      </w:r>
    </w:p>
    <w:p>
      <w:pPr>
        <w:ind w:firstLine="420"/>
        <w:jc w:val="both"/>
      </w:pPr>
      <w:r>
        <w:rPr>
          <w:sz w:val="24"/>
        </w:rPr>
        <w:t>1.</w:t>
      </w:r>
      <w:r>
        <w:rPr>
          <w:sz w:val="24"/>
        </w:rPr>
        <w:t>本项目采取按月方式支付，每批次货物的费用按经采购人确认的实际供货数量进行结算，每次货物结算价＝（各类货物的基准价</w:t>
      </w:r>
      <w:r>
        <w:rPr>
          <w:sz w:val="24"/>
        </w:rPr>
        <w:t>×</w:t>
      </w:r>
      <w:r>
        <w:rPr>
          <w:sz w:val="24"/>
        </w:rPr>
        <w:t>各类货物的实际供货数量）</w:t>
      </w:r>
      <w:r>
        <w:rPr>
          <w:sz w:val="24"/>
        </w:rPr>
        <w:t>×</w:t>
      </w:r>
      <w:r>
        <w:rPr>
          <w:sz w:val="24"/>
        </w:rPr>
        <w:t>中标折扣率。</w:t>
      </w:r>
    </w:p>
    <w:p>
      <w:pPr>
        <w:ind w:firstLine="420"/>
        <w:jc w:val="both"/>
      </w:pPr>
      <w:r>
        <w:rPr>
          <w:sz w:val="24"/>
        </w:rPr>
        <w:t>2.</w:t>
      </w:r>
      <w:r>
        <w:rPr>
          <w:sz w:val="24"/>
        </w:rPr>
        <w:t>中标人凭以下有效文件与采购人结算：</w:t>
      </w:r>
    </w:p>
    <w:p>
      <w:pPr>
        <w:ind w:firstLine="420"/>
        <w:jc w:val="both"/>
      </w:pPr>
      <w:r>
        <w:rPr>
          <w:sz w:val="24"/>
        </w:rPr>
        <w:t>（</w:t>
      </w:r>
      <w:r>
        <w:rPr>
          <w:sz w:val="24"/>
        </w:rPr>
        <w:t>1</w:t>
      </w:r>
      <w:r>
        <w:rPr>
          <w:sz w:val="24"/>
        </w:rPr>
        <w:t>）合同；</w:t>
      </w:r>
    </w:p>
    <w:p>
      <w:pPr>
        <w:ind w:firstLine="420"/>
        <w:jc w:val="both"/>
      </w:pPr>
      <w:r>
        <w:rPr>
          <w:sz w:val="24"/>
        </w:rPr>
        <w:t>（</w:t>
      </w:r>
      <w:r>
        <w:rPr>
          <w:sz w:val="24"/>
        </w:rPr>
        <w:t>2</w:t>
      </w:r>
      <w:r>
        <w:rPr>
          <w:sz w:val="24"/>
        </w:rPr>
        <w:t>）中标人开具的正式发票；</w:t>
      </w:r>
    </w:p>
    <w:p>
      <w:pPr>
        <w:ind w:firstLine="420"/>
        <w:jc w:val="both"/>
      </w:pPr>
      <w:r>
        <w:rPr>
          <w:sz w:val="24"/>
        </w:rPr>
        <w:t>（</w:t>
      </w:r>
      <w:r>
        <w:rPr>
          <w:sz w:val="24"/>
        </w:rPr>
        <w:t>3</w:t>
      </w:r>
      <w:r>
        <w:rPr>
          <w:sz w:val="24"/>
        </w:rPr>
        <w:t>）中标通知书；</w:t>
      </w:r>
    </w:p>
    <w:p>
      <w:pPr>
        <w:ind w:firstLine="420"/>
        <w:jc w:val="both"/>
      </w:pPr>
      <w:r>
        <w:rPr>
          <w:sz w:val="24"/>
        </w:rPr>
        <w:t>（</w:t>
      </w:r>
      <w:r>
        <w:rPr>
          <w:sz w:val="24"/>
        </w:rPr>
        <w:t>4</w:t>
      </w:r>
      <w:r>
        <w:rPr>
          <w:sz w:val="24"/>
        </w:rPr>
        <w:t>）验收报告等采购人要求的其他相关结算资料。</w:t>
      </w:r>
    </w:p>
    <w:p>
      <w:pPr>
        <w:ind w:firstLine="420"/>
        <w:jc w:val="both"/>
      </w:pPr>
      <w:r>
        <w:rPr>
          <w:sz w:val="24"/>
        </w:rPr>
        <w:t>3.</w:t>
      </w:r>
      <w:r>
        <w:rPr>
          <w:sz w:val="24"/>
        </w:rPr>
        <w:t>因</w:t>
      </w:r>
      <w:r>
        <w:rPr>
          <w:sz w:val="24"/>
        </w:rPr>
        <w:t>甲方</w:t>
      </w:r>
      <w:r>
        <w:rPr>
          <w:sz w:val="24"/>
        </w:rPr>
        <w:t>使用的是财政资金，按照前款规定的付款时间，</w:t>
      </w:r>
      <w:r>
        <w:rPr>
          <w:sz w:val="24"/>
        </w:rPr>
        <w:t>甲方</w:t>
      </w:r>
      <w:r>
        <w:rPr>
          <w:sz w:val="24"/>
        </w:rPr>
        <w:t>在收到中标人发票后</w:t>
      </w:r>
      <w:r>
        <w:rPr>
          <w:sz w:val="24"/>
        </w:rPr>
        <w:t>5</w:t>
      </w:r>
      <w:r>
        <w:rPr>
          <w:sz w:val="24"/>
        </w:rPr>
        <w:t>个工作日内向政府采购支付部门提出办理财政支付申请手续（不含政府财政支付部门审核的时间），在规定时间内提出支付申请手续后即视为</w:t>
      </w:r>
      <w:r>
        <w:rPr>
          <w:sz w:val="24"/>
        </w:rPr>
        <w:t>甲方</w:t>
      </w:r>
      <w:r>
        <w:rPr>
          <w:sz w:val="24"/>
        </w:rPr>
        <w:t>已经按期支付。支付申请手续后即视为甲方已经按期支付。</w:t>
      </w:r>
    </w:p>
    <w:p>
      <w:pPr>
        <w:ind w:firstLine="422"/>
        <w:jc w:val="both"/>
      </w:pPr>
      <w:r>
        <w:rPr>
          <w:b/>
          <w:sz w:val="24"/>
        </w:rPr>
        <w:t>七、质保期及售后服务要求</w:t>
      </w:r>
    </w:p>
    <w:p>
      <w:pPr>
        <w:ind w:firstLine="420"/>
        <w:jc w:val="both"/>
      </w:pPr>
      <w:r>
        <w:rPr>
          <w:sz w:val="24"/>
        </w:rPr>
        <w:t>(1)</w:t>
      </w:r>
      <w:r>
        <w:rPr>
          <w:sz w:val="24"/>
        </w:rPr>
        <w:t>保质期期限：按产品出厂有效期。乙方货物入库时货物剩余有效期不得少于标注有效期的</w:t>
      </w:r>
      <w:r>
        <w:rPr>
          <w:sz w:val="24"/>
        </w:rPr>
        <w:t>80%</w:t>
      </w:r>
      <w:r>
        <w:rPr>
          <w:sz w:val="24"/>
        </w:rPr>
        <w:t>。</w:t>
      </w:r>
    </w:p>
    <w:p>
      <w:pPr>
        <w:ind w:firstLine="420"/>
        <w:jc w:val="both"/>
      </w:pPr>
      <w:r>
        <w:rPr>
          <w:sz w:val="24"/>
        </w:rPr>
        <w:t>(2)</w:t>
      </w:r>
      <w:r>
        <w:rPr>
          <w:sz w:val="24"/>
        </w:rPr>
        <w:t>供货期内，甲方每月不定期组织有关部门人员对仓库储备货物进行抽检，若出现货物质量问题或储备量不足的，乙方须在接到甲方通知（书面、传真、短信等方式）后三个工作日内无条件调整更换或补充货物，若三个工作日内对有质量问题货物未能更换合格货物或更换的货物仍达不到验收要求的或未能补充满足储备量货物的，甲方有权解除合同。供货期内抽查出现有</w:t>
      </w:r>
      <w:r>
        <w:rPr>
          <w:sz w:val="24"/>
        </w:rPr>
        <w:t>2</w:t>
      </w:r>
      <w:r>
        <w:rPr>
          <w:sz w:val="24"/>
        </w:rPr>
        <w:t>次不合格的或因产品质量问题造成严重影响的，甲方有权解除合同，因此而造成的违约责任及甲方产生的一切损失由乙方承担，甲方有权保留追究相关责任的权利。</w:t>
      </w:r>
    </w:p>
    <w:p>
      <w:pPr>
        <w:ind w:firstLine="420"/>
        <w:jc w:val="both"/>
      </w:pPr>
      <w:r>
        <w:rPr>
          <w:sz w:val="24"/>
        </w:rPr>
        <w:t>(3)</w:t>
      </w:r>
      <w:r>
        <w:rPr>
          <w:sz w:val="24"/>
        </w:rPr>
        <w:t>乙方负责所有因货物质量问题而产生的费用。</w:t>
      </w:r>
    </w:p>
    <w:p>
      <w:pPr>
        <w:ind w:firstLine="420"/>
        <w:jc w:val="both"/>
      </w:pPr>
      <w:r>
        <w:rPr>
          <w:sz w:val="24"/>
        </w:rPr>
        <w:t>6</w:t>
      </w:r>
      <w:r>
        <w:rPr>
          <w:sz w:val="24"/>
        </w:rPr>
        <w:t>、负责售后服务的单位名称：</w:t>
      </w:r>
    </w:p>
    <w:p>
      <w:pPr>
        <w:ind w:firstLine="420"/>
        <w:jc w:val="both"/>
      </w:pPr>
      <w:r>
        <w:rPr>
          <w:sz w:val="24"/>
        </w:rPr>
        <w:t>联系地址：</w:t>
      </w:r>
    </w:p>
    <w:p>
      <w:pPr>
        <w:ind w:firstLine="420"/>
        <w:jc w:val="both"/>
      </w:pPr>
      <w:r>
        <w:rPr>
          <w:sz w:val="24"/>
        </w:rPr>
        <w:t>联系人：</w:t>
      </w:r>
    </w:p>
    <w:p>
      <w:pPr>
        <w:ind w:firstLine="420"/>
        <w:jc w:val="both"/>
      </w:pPr>
      <w:r>
        <w:rPr>
          <w:sz w:val="24"/>
        </w:rPr>
        <w:t>联系电话：</w:t>
      </w:r>
    </w:p>
    <w:p>
      <w:pPr>
        <w:ind w:firstLine="420"/>
        <w:jc w:val="both"/>
      </w:pPr>
      <w:r>
        <w:rPr>
          <w:sz w:val="24"/>
        </w:rPr>
        <w:t>手机号码：</w:t>
      </w:r>
    </w:p>
    <w:p>
      <w:pPr>
        <w:ind w:firstLine="422"/>
        <w:jc w:val="both"/>
      </w:pPr>
      <w:r>
        <w:rPr>
          <w:b/>
          <w:sz w:val="24"/>
        </w:rPr>
        <w:t>八、包装、到货检验</w:t>
      </w:r>
      <w:r>
        <w:rPr>
          <w:sz w:val="24"/>
        </w:rPr>
        <w:t>:</w:t>
      </w:r>
    </w:p>
    <w:p>
      <w:pPr>
        <w:ind w:firstLine="420"/>
        <w:jc w:val="both"/>
      </w:pPr>
      <w:r>
        <w:rPr>
          <w:sz w:val="24"/>
        </w:rPr>
        <w:t>1</w:t>
      </w:r>
      <w:r>
        <w:rPr>
          <w:sz w:val="24"/>
        </w:rPr>
        <w:t>、合同货物的包装：货物的包装均应有良好的防湿、防锈、防潮、防雨、防腐及防碰撞的措施。凡由于包装不良造成的损失和由此产生的费用均由乙方承担。包装费用及运输费用由乙方承担。</w:t>
      </w:r>
    </w:p>
    <w:p>
      <w:pPr>
        <w:ind w:firstLine="420"/>
        <w:jc w:val="both"/>
      </w:pPr>
      <w:r>
        <w:rPr>
          <w:sz w:val="24"/>
        </w:rPr>
        <w:t>2</w:t>
      </w:r>
      <w:r>
        <w:rPr>
          <w:sz w:val="24"/>
        </w:rPr>
        <w:t>、到货检验</w:t>
      </w:r>
    </w:p>
    <w:p>
      <w:pPr>
        <w:ind w:firstLine="420"/>
        <w:jc w:val="both"/>
      </w:pPr>
      <w:r>
        <w:rPr>
          <w:sz w:val="24"/>
        </w:rPr>
        <w:t>（</w:t>
      </w:r>
      <w:r>
        <w:rPr>
          <w:sz w:val="24"/>
        </w:rPr>
        <w:t>1</w:t>
      </w:r>
      <w:r>
        <w:rPr>
          <w:sz w:val="24"/>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ind w:firstLine="422"/>
        <w:jc w:val="both"/>
      </w:pPr>
      <w:r>
        <w:rPr>
          <w:b/>
          <w:sz w:val="24"/>
        </w:rPr>
        <w:t>九、验收：</w:t>
      </w:r>
    </w:p>
    <w:p>
      <w:pPr>
        <w:ind w:firstLine="420"/>
        <w:jc w:val="both"/>
      </w:pPr>
      <w:r>
        <w:rPr>
          <w:sz w:val="24"/>
        </w:rPr>
        <w:t>1.</w:t>
      </w:r>
      <w:r>
        <w:rPr>
          <w:sz w:val="24"/>
        </w:rPr>
        <w:t>验收时，货物按照国家标准验收，中标人提供的每批次产品必须为全新产品，包装完整、无污染、外观整洁、无侵权行为、表面无划损、无任何缺陷隐患，附产品合格证，并出具合格检验报告。装箱单号与出厂生产批号一致，并可追索查阅。</w:t>
      </w:r>
    </w:p>
    <w:p>
      <w:pPr>
        <w:ind w:firstLine="420"/>
        <w:jc w:val="both"/>
      </w:pPr>
      <w:r>
        <w:rPr>
          <w:sz w:val="24"/>
        </w:rPr>
        <w:t>2.</w:t>
      </w:r>
      <w:r>
        <w:rPr>
          <w:sz w:val="24"/>
        </w:rPr>
        <w:t>验收完毕后，双方必须在商品收货清单上签名确认，商品收货清单作为</w:t>
      </w:r>
      <w:r>
        <w:rPr>
          <w:sz w:val="24"/>
        </w:rPr>
        <w:t>甲方</w:t>
      </w:r>
      <w:r>
        <w:rPr>
          <w:sz w:val="24"/>
        </w:rPr>
        <w:t>支付货款的依据之一。双方在收货清单上的签名确认仅为直观判断商品数量、规格、品牌、型号是否符合双方约定，产品质量是否合格应以第三方机构的检测报告为准。</w:t>
      </w:r>
    </w:p>
    <w:p>
      <w:pPr>
        <w:ind w:firstLine="420"/>
        <w:jc w:val="both"/>
      </w:pPr>
      <w:r>
        <w:rPr>
          <w:sz w:val="24"/>
        </w:rPr>
        <w:t>3.</w:t>
      </w:r>
      <w:r>
        <w:rPr>
          <w:sz w:val="24"/>
        </w:rPr>
        <w:t>供货期内供应</w:t>
      </w:r>
      <w:r>
        <w:rPr>
          <w:sz w:val="24"/>
        </w:rPr>
        <w:t>甲方</w:t>
      </w:r>
      <w:r>
        <w:rPr>
          <w:sz w:val="24"/>
        </w:rPr>
        <w:t>不适用的商品允许商品不影响二次销售、包装完好情况下免费退换；当出现不合格产品时中标人要无条件更换合格产品。除</w:t>
      </w:r>
      <w:r>
        <w:rPr>
          <w:sz w:val="24"/>
        </w:rPr>
        <w:t>甲方</w:t>
      </w:r>
      <w:r>
        <w:rPr>
          <w:sz w:val="24"/>
        </w:rPr>
        <w:t>认可，否则不接受任何形式的降格处理。</w:t>
      </w:r>
    </w:p>
    <w:p>
      <w:pPr>
        <w:ind w:firstLine="420"/>
        <w:jc w:val="both"/>
      </w:pPr>
      <w:r>
        <w:rPr>
          <w:sz w:val="24"/>
        </w:rPr>
        <w:t>4.</w:t>
      </w:r>
      <w:r>
        <w:rPr>
          <w:sz w:val="24"/>
        </w:rPr>
        <w:t>在</w:t>
      </w:r>
      <w:r>
        <w:rPr>
          <w:sz w:val="24"/>
        </w:rPr>
        <w:t>甲方</w:t>
      </w:r>
      <w:r>
        <w:rPr>
          <w:sz w:val="24"/>
        </w:rPr>
        <w:t>或</w:t>
      </w:r>
      <w:r>
        <w:rPr>
          <w:sz w:val="24"/>
        </w:rPr>
        <w:t>甲方</w:t>
      </w:r>
      <w:r>
        <w:rPr>
          <w:sz w:val="24"/>
        </w:rPr>
        <w:t>委托人签收之前，商品的所有权和风险属于中标人，商品发生遗失、损坏、质变等由中标人负责</w:t>
      </w:r>
    </w:p>
    <w:p>
      <w:pPr>
        <w:ind w:firstLine="422"/>
        <w:jc w:val="both"/>
      </w:pPr>
      <w:r>
        <w:rPr>
          <w:b/>
          <w:sz w:val="24"/>
        </w:rPr>
        <w:t>十、质量要求和技术标准</w:t>
      </w:r>
    </w:p>
    <w:p>
      <w:pPr>
        <w:ind w:firstLine="420"/>
        <w:jc w:val="both"/>
      </w:pPr>
      <w:r>
        <w:rPr>
          <w:sz w:val="24"/>
        </w:rPr>
        <w:t>1</w:t>
      </w:r>
      <w:r>
        <w:rPr>
          <w:sz w:val="24"/>
        </w:rPr>
        <w:t>、包装、保险及发运、保管要求</w:t>
      </w:r>
    </w:p>
    <w:p>
      <w:pPr>
        <w:ind w:firstLine="420"/>
        <w:jc w:val="both"/>
      </w:pPr>
      <w:r>
        <w:rPr>
          <w:sz w:val="24"/>
        </w:rPr>
        <w:t>(1)</w:t>
      </w:r>
      <w:r>
        <w:rPr>
          <w:sz w:val="24"/>
        </w:rPr>
        <w:t>货物的包装必须是制造商原厂包装，其包装均应有良好的防湿、防潮、防雨、防腐及防碰撞的措施。凡由于包装不良造成的损失和由此产生的费用均由乙方承担。</w:t>
      </w:r>
    </w:p>
    <w:p>
      <w:pPr>
        <w:ind w:firstLine="420"/>
        <w:jc w:val="both"/>
      </w:pPr>
      <w:r>
        <w:rPr>
          <w:sz w:val="24"/>
        </w:rPr>
        <w:t>(2)</w:t>
      </w:r>
      <w:r>
        <w:rPr>
          <w:sz w:val="24"/>
        </w:rPr>
        <w:t>乙方负责将货物货到现场过程中的全部运输，包括装卸车、货物现场的搬运。</w:t>
      </w:r>
    </w:p>
    <w:p>
      <w:pPr>
        <w:ind w:firstLine="420"/>
        <w:jc w:val="both"/>
      </w:pPr>
      <w:r>
        <w:rPr>
          <w:sz w:val="24"/>
        </w:rPr>
        <w:t>(3)</w:t>
      </w:r>
      <w:r>
        <w:rPr>
          <w:sz w:val="24"/>
        </w:rPr>
        <w:t>货物至甲方指定的使用现场保险及发运等环节和费用均由乙方负责。</w:t>
      </w:r>
    </w:p>
    <w:p>
      <w:pPr>
        <w:ind w:firstLine="420"/>
        <w:jc w:val="both"/>
      </w:pPr>
      <w:r>
        <w:rPr>
          <w:sz w:val="24"/>
        </w:rPr>
        <w:t>(4)</w:t>
      </w:r>
      <w:r>
        <w:rPr>
          <w:sz w:val="24"/>
        </w:rPr>
        <w:t>货物包装应能防止破损和使用前的污染。</w:t>
      </w:r>
    </w:p>
    <w:p>
      <w:pPr>
        <w:ind w:firstLine="420"/>
        <w:jc w:val="both"/>
      </w:pPr>
      <w:r>
        <w:rPr>
          <w:sz w:val="24"/>
        </w:rPr>
        <w:t>2</w:t>
      </w:r>
      <w:r>
        <w:rPr>
          <w:sz w:val="24"/>
        </w:rPr>
        <w:t>、项目要求</w:t>
      </w:r>
    </w:p>
    <w:p>
      <w:pPr>
        <w:ind w:firstLine="420"/>
        <w:jc w:val="both"/>
      </w:pPr>
      <w:r>
        <w:rPr>
          <w:sz w:val="24"/>
        </w:rPr>
        <w:t>(1)</w:t>
      </w:r>
      <w:r>
        <w:rPr>
          <w:sz w:val="24"/>
        </w:rPr>
        <w:t>按批次送货，原则上每月一次。甲方提出订单要求，乙方需在</w:t>
      </w:r>
      <w:r>
        <w:rPr>
          <w:sz w:val="24"/>
        </w:rPr>
        <w:t>1</w:t>
      </w:r>
      <w:r>
        <w:rPr>
          <w:sz w:val="24"/>
        </w:rPr>
        <w:t>小时内响应。乙方根据甲方每月的订单要求，把货物送至甲方指定地点，原则上每批次的货物交货时间为接到订单要求后</w:t>
      </w:r>
      <w:r>
        <w:rPr>
          <w:sz w:val="24"/>
        </w:rPr>
        <w:t>5</w:t>
      </w:r>
      <w:r>
        <w:rPr>
          <w:sz w:val="24"/>
        </w:rPr>
        <w:t>个工作日内。</w:t>
      </w:r>
    </w:p>
    <w:p>
      <w:pPr>
        <w:ind w:firstLine="420"/>
        <w:jc w:val="both"/>
      </w:pPr>
      <w:r>
        <w:rPr>
          <w:sz w:val="24"/>
        </w:rPr>
        <w:t>(2)</w:t>
      </w:r>
      <w:r>
        <w:rPr>
          <w:sz w:val="24"/>
        </w:rPr>
        <w:t>乙方须提供</w:t>
      </w:r>
      <w:r>
        <w:rPr>
          <w:sz w:val="24"/>
        </w:rPr>
        <w:t>24</w:t>
      </w:r>
      <w:r>
        <w:rPr>
          <w:sz w:val="24"/>
        </w:rPr>
        <w:t>小时服务热线和应急人员名单，如遇特殊情况须及时响应并无条件配合甲方的工作。</w:t>
      </w:r>
    </w:p>
    <w:p>
      <w:pPr>
        <w:ind w:firstLine="420"/>
        <w:jc w:val="both"/>
      </w:pPr>
      <w:r>
        <w:rPr>
          <w:sz w:val="24"/>
        </w:rPr>
        <w:t>(3)</w:t>
      </w:r>
      <w:r>
        <w:rPr>
          <w:sz w:val="24"/>
        </w:rPr>
        <w:t>每一批次的产品均须附上第三方检测报告，所配送的产品必须为检测合格的产品。</w:t>
      </w:r>
    </w:p>
    <w:p>
      <w:pPr>
        <w:ind w:firstLine="420"/>
        <w:jc w:val="both"/>
      </w:pPr>
      <w:r>
        <w:rPr>
          <w:sz w:val="24"/>
        </w:rPr>
        <w:t>(4)</w:t>
      </w:r>
      <w:r>
        <w:rPr>
          <w:sz w:val="24"/>
        </w:rPr>
        <w:t>预计需求数量仅为预估参考的值，甲方不承诺具体的数量，如政府有关部门发布疫情结束的通知后则停止供货且合同终止，乙方须自行考虑并承担其中的风险。</w:t>
      </w:r>
    </w:p>
    <w:p>
      <w:pPr>
        <w:ind w:firstLine="420"/>
        <w:jc w:val="both"/>
      </w:pPr>
      <w:r>
        <w:rPr>
          <w:sz w:val="24"/>
        </w:rPr>
        <w:t>(5)</w:t>
      </w:r>
      <w:r>
        <w:rPr>
          <w:sz w:val="24"/>
        </w:rPr>
        <w:t>如疫情未结束且项目预算金额使用完毕后，甲方视乙方履行合同的情况可与乙方追加签订原合同采购金额</w:t>
      </w:r>
      <w:r>
        <w:rPr>
          <w:sz w:val="24"/>
        </w:rPr>
        <w:t>10%</w:t>
      </w:r>
      <w:r>
        <w:rPr>
          <w:sz w:val="24"/>
        </w:rPr>
        <w:t>合同标的相同的货物合同。</w:t>
      </w:r>
    </w:p>
    <w:p>
      <w:pPr>
        <w:ind w:firstLine="420"/>
        <w:jc w:val="both"/>
      </w:pPr>
      <w:r>
        <w:rPr>
          <w:sz w:val="24"/>
        </w:rPr>
        <w:t>(6)</w:t>
      </w:r>
      <w:r>
        <w:rPr>
          <w:sz w:val="24"/>
        </w:rPr>
        <w:t>供货期内，如所投产品生产厂家停产或不再生产此规格的产品，乙方可提供不低于现供货物标准的替代产品。产品更换前须经过甲方的同意方可更换。</w:t>
      </w:r>
    </w:p>
    <w:p>
      <w:pPr>
        <w:ind w:firstLine="420"/>
        <w:jc w:val="both"/>
      </w:pPr>
      <w:r>
        <w:rPr>
          <w:sz w:val="24"/>
        </w:rPr>
        <w:t>（</w:t>
      </w:r>
      <w:r>
        <w:rPr>
          <w:sz w:val="24"/>
        </w:rPr>
        <w:t>7</w:t>
      </w:r>
      <w:r>
        <w:rPr>
          <w:sz w:val="24"/>
        </w:rPr>
        <w:t>）合同签订后，供应商若未能按照</w:t>
      </w:r>
      <w:r>
        <w:rPr>
          <w:sz w:val="24"/>
        </w:rPr>
        <w:t>甲方</w:t>
      </w:r>
      <w:r>
        <w:rPr>
          <w:sz w:val="24"/>
        </w:rPr>
        <w:t>的要求履行合同，</w:t>
      </w:r>
      <w:r>
        <w:rPr>
          <w:sz w:val="24"/>
        </w:rPr>
        <w:t>甲方</w:t>
      </w:r>
      <w:r>
        <w:rPr>
          <w:sz w:val="24"/>
        </w:rPr>
        <w:t>则有权随时单方终止合同。如：合同签订之后，供应商供货己达到合同金额</w:t>
      </w:r>
      <w:r>
        <w:rPr>
          <w:sz w:val="24"/>
        </w:rPr>
        <w:t>30%</w:t>
      </w:r>
      <w:r>
        <w:rPr>
          <w:sz w:val="24"/>
        </w:rPr>
        <w:t>，在供货期间，没能按</w:t>
      </w:r>
      <w:r>
        <w:rPr>
          <w:sz w:val="24"/>
        </w:rPr>
        <w:t>甲方</w:t>
      </w:r>
      <w:r>
        <w:rPr>
          <w:sz w:val="24"/>
        </w:rPr>
        <w:t>要求履约（包括但不限于供货时间、供货质量、服务质量等没达到</w:t>
      </w:r>
      <w:r>
        <w:rPr>
          <w:sz w:val="24"/>
        </w:rPr>
        <w:t>甲方</w:t>
      </w:r>
      <w:r>
        <w:rPr>
          <w:sz w:val="24"/>
        </w:rPr>
        <w:t>的要求），</w:t>
      </w:r>
      <w:r>
        <w:rPr>
          <w:sz w:val="24"/>
        </w:rPr>
        <w:t>甲方</w:t>
      </w:r>
      <w:r>
        <w:rPr>
          <w:sz w:val="24"/>
        </w:rPr>
        <w:t>有权随时单方终止合同。</w:t>
      </w:r>
    </w:p>
    <w:p>
      <w:pPr>
        <w:ind w:firstLine="420"/>
        <w:jc w:val="both"/>
      </w:pPr>
      <w:r>
        <w:rPr>
          <w:sz w:val="24"/>
        </w:rPr>
        <w:t>（</w:t>
      </w:r>
      <w:r>
        <w:rPr>
          <w:sz w:val="24"/>
        </w:rPr>
        <w:t>8</w:t>
      </w:r>
      <w:r>
        <w:rPr>
          <w:sz w:val="24"/>
        </w:rPr>
        <w:t>）本项目属于日常常态化防疫物资采购，如因疫情严重，出现突发疫情或片区疫情引起突发情况及突发事件，</w:t>
      </w:r>
      <w:r>
        <w:rPr>
          <w:sz w:val="24"/>
        </w:rPr>
        <w:t>甲方</w:t>
      </w:r>
      <w:r>
        <w:rPr>
          <w:sz w:val="24"/>
        </w:rPr>
        <w:t>有权另行处理。</w:t>
      </w:r>
    </w:p>
    <w:p>
      <w:pPr>
        <w:ind w:firstLine="420"/>
        <w:jc w:val="both"/>
      </w:pPr>
      <w:r>
        <w:rPr>
          <w:sz w:val="24"/>
        </w:rPr>
        <w:t>3</w:t>
      </w:r>
      <w:r>
        <w:rPr>
          <w:sz w:val="24"/>
        </w:rPr>
        <w:t>、甲方如遇特殊情况需要紧急物资的，乙方须在</w:t>
      </w:r>
      <w:r>
        <w:rPr>
          <w:sz w:val="24"/>
        </w:rPr>
        <w:t>2-3</w:t>
      </w:r>
      <w:r>
        <w:rPr>
          <w:sz w:val="24"/>
        </w:rPr>
        <w:t>小时内将物资送至甲方指定地点。如遇到乙方无法满足甲方采购清单所需物资及送达时间，甲方可协助乙方在第三方供应商中采购，所有费用由乙方承担。</w:t>
      </w:r>
    </w:p>
    <w:p>
      <w:pPr>
        <w:ind w:firstLine="422"/>
        <w:jc w:val="both"/>
      </w:pPr>
      <w:r>
        <w:rPr>
          <w:b/>
          <w:sz w:val="24"/>
        </w:rPr>
        <w:t>十一、违约责任与赔偿损失</w:t>
      </w:r>
    </w:p>
    <w:p>
      <w:pPr>
        <w:ind w:firstLine="420"/>
        <w:jc w:val="both"/>
      </w:pPr>
      <w:r>
        <w:rPr>
          <w:sz w:val="24"/>
        </w:rPr>
        <w:t>1</w:t>
      </w:r>
      <w:r>
        <w:rPr>
          <w:sz w:val="24"/>
        </w:rPr>
        <w:t>、乙方交付的货物不符合招标文件、报价文件或本合同规定的，甲方有权拒收，并且乙方须向甲方支付本合同总价</w:t>
      </w:r>
      <w:r>
        <w:rPr>
          <w:sz w:val="24"/>
        </w:rPr>
        <w:t>5%</w:t>
      </w:r>
      <w:r>
        <w:rPr>
          <w:sz w:val="24"/>
        </w:rPr>
        <w:t>的违约金，违约金不足以弥补甲方全部损失的应另行赔偿。</w:t>
      </w:r>
    </w:p>
    <w:p>
      <w:pPr>
        <w:ind w:firstLine="420"/>
        <w:jc w:val="both"/>
      </w:pPr>
      <w:r>
        <w:rPr>
          <w:sz w:val="24"/>
        </w:rPr>
        <w:t>2</w:t>
      </w:r>
      <w:r>
        <w:rPr>
          <w:sz w:val="24"/>
        </w:rPr>
        <w:t>、乙方拒不交货或不能交货的，甲方有权单方解除本合同，并按照合同总价的</w:t>
      </w:r>
      <w:r>
        <w:rPr>
          <w:sz w:val="24"/>
        </w:rPr>
        <w:t>5%</w:t>
      </w:r>
      <w:r>
        <w:rPr>
          <w:sz w:val="24"/>
        </w:rPr>
        <w:t>要求乙方支付违约金。</w:t>
      </w:r>
    </w:p>
    <w:p>
      <w:pPr>
        <w:ind w:firstLine="420"/>
        <w:jc w:val="both"/>
      </w:pPr>
      <w:r>
        <w:rPr>
          <w:sz w:val="24"/>
        </w:rPr>
        <w:t>3</w:t>
      </w:r>
      <w:r>
        <w:rPr>
          <w:sz w:val="24"/>
        </w:rPr>
        <w:t>、乙方未能按本合同规定的交货时间交付货物的，从逾期之日起每日按本合同总价</w:t>
      </w:r>
      <w:r>
        <w:rPr>
          <w:sz w:val="24"/>
        </w:rPr>
        <w:t>3‰</w:t>
      </w:r>
      <w:r>
        <w:rPr>
          <w:sz w:val="24"/>
        </w:rPr>
        <w:t>的数额向甲方支付违约金；逾期</w:t>
      </w:r>
      <w:r>
        <w:rPr>
          <w:sz w:val="24"/>
        </w:rPr>
        <w:t>15</w:t>
      </w:r>
      <w:r>
        <w:rPr>
          <w:sz w:val="24"/>
        </w:rPr>
        <w:t>天以上的，甲方有权单方解除合同，乙方需退还甲方已付款项，由此造成的甲方经济损失由乙方承担。</w:t>
      </w:r>
    </w:p>
    <w:p>
      <w:pPr>
        <w:ind w:firstLine="420"/>
        <w:jc w:val="both"/>
      </w:pPr>
      <w:r>
        <w:rPr>
          <w:sz w:val="24"/>
        </w:rPr>
        <w:t>4</w:t>
      </w:r>
      <w:r>
        <w:rPr>
          <w:sz w:val="24"/>
        </w:rPr>
        <w:t>、中标供应商逾期交齐货物，或者因质量验收迟延而应视为逾期交货的，每逾期一天按合同总价的万分之三向甲方支付违约金，累计至交齐货物之日止。</w:t>
      </w:r>
    </w:p>
    <w:p>
      <w:pPr>
        <w:ind w:firstLine="420"/>
        <w:jc w:val="both"/>
      </w:pPr>
      <w:r>
        <w:rPr>
          <w:sz w:val="24"/>
        </w:rPr>
        <w:t>5</w:t>
      </w:r>
      <w:r>
        <w:rPr>
          <w:sz w:val="24"/>
        </w:rPr>
        <w:t>、甲方无正当理由拒收货物，不按政府采购支付流程办理付款申请手续的，甲方向乙方偿付本合同总价</w:t>
      </w:r>
      <w:r>
        <w:rPr>
          <w:sz w:val="24"/>
        </w:rPr>
        <w:t>5%</w:t>
      </w:r>
      <w:r>
        <w:rPr>
          <w:sz w:val="24"/>
        </w:rPr>
        <w:t>的违约金。甲方逾期未按政府采购支付流程办理付款申请手续的，则每日按本合同总价的</w:t>
      </w:r>
      <w:r>
        <w:rPr>
          <w:sz w:val="24"/>
        </w:rPr>
        <w:t>3‰</w:t>
      </w:r>
      <w:r>
        <w:rPr>
          <w:sz w:val="24"/>
        </w:rPr>
        <w:t>向乙方偿付违约金，但累计不超过合同总价的</w:t>
      </w:r>
      <w:r>
        <w:rPr>
          <w:sz w:val="24"/>
        </w:rPr>
        <w:t>5</w:t>
      </w:r>
      <w:r>
        <w:rPr>
          <w:sz w:val="24"/>
        </w:rPr>
        <w:t>％。实际付款到账时间以政府采购支付时间为准，若由于财政审批程序等非甲方过错原因导致甲方未能如期支付，不应视为甲方违约。</w:t>
      </w:r>
    </w:p>
    <w:p>
      <w:pPr>
        <w:ind w:firstLine="420"/>
        <w:jc w:val="both"/>
      </w:pPr>
      <w:r>
        <w:rPr>
          <w:sz w:val="24"/>
        </w:rPr>
        <w:t>6</w:t>
      </w:r>
      <w:r>
        <w:rPr>
          <w:sz w:val="24"/>
        </w:rPr>
        <w:t>、乙方如没有按合同规定履行售后服务承诺，甲方可由第三方单位进行修复，其费用全部由乙方支付。</w:t>
      </w:r>
    </w:p>
    <w:p>
      <w:pPr>
        <w:ind w:firstLine="420"/>
        <w:jc w:val="both"/>
      </w:pPr>
      <w:r>
        <w:rPr>
          <w:sz w:val="24"/>
        </w:rPr>
        <w:t>7</w:t>
      </w:r>
      <w:r>
        <w:rPr>
          <w:sz w:val="24"/>
        </w:rPr>
        <w:t>、甲方因追究乙方违约责任所支付的法律成本，包括但不限于律师费、诉讼费、保全费、保全担保费、公证费等由乙方承担。</w:t>
      </w:r>
    </w:p>
    <w:p>
      <w:pPr>
        <w:ind w:firstLine="420"/>
        <w:jc w:val="both"/>
      </w:pPr>
      <w:r>
        <w:rPr>
          <w:sz w:val="24"/>
        </w:rPr>
        <w:t>8</w:t>
      </w:r>
      <w:r>
        <w:rPr>
          <w:sz w:val="24"/>
        </w:rPr>
        <w:t>、其它违约责任按《中华人民共和国民法典》处理。</w:t>
      </w:r>
    </w:p>
    <w:p>
      <w:pPr>
        <w:ind w:firstLine="422"/>
        <w:jc w:val="both"/>
      </w:pPr>
      <w:r>
        <w:rPr>
          <w:b/>
          <w:sz w:val="24"/>
        </w:rPr>
        <w:t>十二、争议的解决</w:t>
      </w:r>
    </w:p>
    <w:p>
      <w:pPr>
        <w:ind w:firstLine="420"/>
        <w:jc w:val="both"/>
      </w:pPr>
      <w:r>
        <w:rPr>
          <w:sz w:val="24"/>
        </w:rPr>
        <w:t>合同执行过程中发生的任何争议，双方应通过友好协商解决，若经协商不能达成协议时，则向甲方所在地人民法院提起诉讼。诉讼期间，双方应继续执行合同其余部分。</w:t>
      </w:r>
    </w:p>
    <w:p>
      <w:pPr>
        <w:ind w:firstLine="422"/>
        <w:jc w:val="both"/>
      </w:pPr>
      <w:r>
        <w:rPr>
          <w:b/>
          <w:sz w:val="24"/>
        </w:rPr>
        <w:t>十三、不可抗力</w:t>
      </w:r>
    </w:p>
    <w:p>
      <w:pPr>
        <w:ind w:firstLine="420"/>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ind w:firstLine="422"/>
        <w:jc w:val="both"/>
      </w:pPr>
      <w:r>
        <w:rPr>
          <w:b/>
          <w:sz w:val="24"/>
        </w:rPr>
        <w:t>十四、税费</w:t>
      </w:r>
    </w:p>
    <w:p>
      <w:pPr>
        <w:ind w:firstLine="420"/>
        <w:jc w:val="both"/>
      </w:pPr>
      <w:r>
        <w:rPr>
          <w:sz w:val="24"/>
        </w:rPr>
        <w:t>在中国境内、外发生的与本合同执行有关的一切税费均由乙方负担。</w:t>
      </w:r>
    </w:p>
    <w:p>
      <w:pPr>
        <w:ind w:firstLine="422"/>
        <w:jc w:val="both"/>
      </w:pPr>
      <w:r>
        <w:rPr>
          <w:b/>
          <w:sz w:val="24"/>
        </w:rPr>
        <w:t>十五、其它</w:t>
      </w:r>
    </w:p>
    <w:p>
      <w:pPr>
        <w:ind w:firstLine="420"/>
        <w:jc w:val="both"/>
      </w:pPr>
      <w:r>
        <w:rPr>
          <w:sz w:val="24"/>
        </w:rPr>
        <w:t>1</w:t>
      </w:r>
      <w:r>
        <w:rPr>
          <w:sz w:val="24"/>
        </w:rPr>
        <w:t>、本合同所有附件、招标文件、投标文件、成交通知书均为合同的有效组成部分，与本合同具有同等法律效力。</w:t>
      </w:r>
    </w:p>
    <w:p>
      <w:pPr>
        <w:ind w:firstLine="420"/>
        <w:jc w:val="both"/>
      </w:pPr>
      <w:r>
        <w:rPr>
          <w:sz w:val="24"/>
        </w:rPr>
        <w:t>2</w:t>
      </w:r>
      <w:r>
        <w:rPr>
          <w:sz w:val="24"/>
        </w:rPr>
        <w:t>、在执行本合同的过程中，所有经双方签署确认的文件（包括会议纪要、补充协议、往来信函）即成为本合同的有效组成部分。</w:t>
      </w:r>
    </w:p>
    <w:p>
      <w:pPr>
        <w:ind w:firstLine="420"/>
        <w:jc w:val="both"/>
      </w:pPr>
      <w:r>
        <w:rPr>
          <w:sz w:val="24"/>
        </w:rPr>
        <w:t>3</w:t>
      </w:r>
      <w:r>
        <w:rPr>
          <w:sz w:val="24"/>
        </w:rPr>
        <w:t>、如一方地址、电话、传真号码有变更，应在变更当日内书面通知对方，否则，应承担相应责任。</w:t>
      </w:r>
    </w:p>
    <w:p>
      <w:pPr>
        <w:ind w:firstLine="420"/>
        <w:jc w:val="both"/>
      </w:pPr>
      <w:r>
        <w:rPr>
          <w:sz w:val="24"/>
        </w:rPr>
        <w:t>4</w:t>
      </w:r>
      <w:r>
        <w:rPr>
          <w:sz w:val="24"/>
        </w:rPr>
        <w:t>、除甲方事先书面同意外，乙方不得部分或全部转让其应履行的合同项下的义务。</w:t>
      </w:r>
    </w:p>
    <w:p>
      <w:pPr>
        <w:ind w:firstLine="422"/>
        <w:jc w:val="both"/>
      </w:pPr>
      <w:r>
        <w:rPr>
          <w:b/>
          <w:sz w:val="24"/>
        </w:rPr>
        <w:t>十六、合同生效</w:t>
      </w:r>
    </w:p>
    <w:p>
      <w:pPr>
        <w:ind w:firstLine="420"/>
        <w:jc w:val="both"/>
      </w:pPr>
      <w:r>
        <w:rPr>
          <w:sz w:val="24"/>
        </w:rPr>
        <w:t>1</w:t>
      </w:r>
      <w:r>
        <w:rPr>
          <w:sz w:val="24"/>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ind w:firstLine="420"/>
        <w:jc w:val="both"/>
      </w:pPr>
      <w:r>
        <w:rPr>
          <w:sz w:val="24"/>
        </w:rPr>
        <w:t>2</w:t>
      </w:r>
      <w:r>
        <w:rPr>
          <w:sz w:val="24"/>
        </w:rPr>
        <w:t>、合同一式份。甲、乙双方各执份，采购代理机构份。</w:t>
      </w:r>
    </w:p>
    <w:p>
      <w:pPr>
        <w:ind w:firstLine="420"/>
        <w:jc w:val="left"/>
      </w:pPr>
    </w:p>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860"/>
        <w:gridCol w:w="4446"/>
      </w:tblGrid>
      <w:tr>
        <w:tc>
          <w:tcPr>
            <w:tcW w:type="dxa" w:w="3860"/>
            <w:tcBorders>
              <w:top w:val="none" w:color="000000" w:sz="4"/>
              <w:left w:val="none" w:color="000000" w:sz="4"/>
              <w:bottom w:val="none" w:color="000000" w:sz="4"/>
              <w:right w:val="none" w:color="000000" w:sz="4"/>
            </w:tcBorders>
            <w:vAlign w:val="top"/>
          </w:tcPr>
          <w:p>
            <w:pPr>
              <w:ind w:firstLine="420"/>
              <w:jc w:val="left"/>
            </w:pPr>
          </w:p>
          <w:p>
            <w:r>
              <w:rPr>
                <w:sz w:val="24"/>
              </w:rPr>
              <w:t>甲方（盖章）：</w:t>
            </w:r>
          </w:p>
          <w:p>
            <w:r>
              <w:rPr>
                <w:sz w:val="19"/>
              </w:rPr>
              <w:t xml:space="preserve"> </w:t>
            </w:r>
          </w:p>
        </w:tc>
        <w:tc>
          <w:tcPr>
            <w:tcW w:type="dxa" w:w="4446"/>
            <w:tcBorders>
              <w:top w:val="none" w:color="000000" w:sz="4"/>
              <w:left w:val="none" w:color="000000" w:sz="4"/>
              <w:bottom w:val="none" w:color="000000" w:sz="4"/>
              <w:right w:val="none" w:color="000000" w:sz="4"/>
            </w:tcBorders>
            <w:vAlign w:val="top"/>
          </w:tcPr>
          <w:p>
            <w:pPr>
              <w:ind w:firstLine="420"/>
              <w:jc w:val="left"/>
            </w:pPr>
            <w:r>
              <w:rPr>
                <w:sz w:val="24"/>
              </w:rPr>
              <w:t>乙方（盖章）：</w:t>
            </w:r>
          </w:p>
        </w:tc>
      </w:tr>
      <w:tr>
        <w:tc>
          <w:tcPr>
            <w:tcW w:type="dxa" w:w="3860"/>
            <w:tcBorders>
              <w:top w:val="none" w:color="000000" w:sz="4"/>
              <w:left w:val="none" w:color="000000" w:sz="4"/>
              <w:bottom w:val="none" w:color="000000" w:sz="4"/>
              <w:right w:val="none" w:color="000000" w:sz="4"/>
            </w:tcBorders>
            <w:vAlign w:val="top"/>
          </w:tcPr>
          <w:p>
            <w:pPr>
              <w:ind w:firstLine="420"/>
              <w:jc w:val="left"/>
            </w:pPr>
            <w:r>
              <w:rPr>
                <w:sz w:val="24"/>
              </w:rPr>
              <w:t>代表人：</w:t>
            </w:r>
          </w:p>
        </w:tc>
        <w:tc>
          <w:tcPr>
            <w:tcW w:type="dxa" w:w="4446"/>
            <w:tcBorders>
              <w:top w:val="none" w:color="000000" w:sz="4"/>
              <w:left w:val="none" w:color="000000" w:sz="4"/>
              <w:bottom w:val="none" w:color="000000" w:sz="4"/>
              <w:right w:val="none" w:color="000000" w:sz="4"/>
            </w:tcBorders>
            <w:vAlign w:val="top"/>
          </w:tcPr>
          <w:p>
            <w:pPr>
              <w:ind w:firstLine="420"/>
              <w:jc w:val="left"/>
            </w:pPr>
            <w:r>
              <w:rPr>
                <w:sz w:val="24"/>
              </w:rPr>
              <w:t>代表人：</w:t>
            </w:r>
          </w:p>
        </w:tc>
      </w:tr>
      <w:tr>
        <w:tc>
          <w:tcPr>
            <w:tcW w:type="dxa" w:w="3860"/>
            <w:tcBorders>
              <w:top w:val="none" w:color="000000" w:sz="4"/>
              <w:left w:val="none" w:color="000000" w:sz="4"/>
              <w:bottom w:val="none" w:color="000000" w:sz="4"/>
              <w:right w:val="none" w:color="000000" w:sz="4"/>
            </w:tcBorders>
            <w:vAlign w:val="top"/>
          </w:tcPr>
          <w:p>
            <w:pPr>
              <w:ind w:firstLine="420"/>
              <w:jc w:val="left"/>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4446"/>
            <w:tcBorders>
              <w:top w:val="none" w:color="000000" w:sz="4"/>
              <w:left w:val="none" w:color="000000" w:sz="4"/>
              <w:bottom w:val="none" w:color="000000" w:sz="4"/>
              <w:right w:val="none" w:color="000000" w:sz="4"/>
            </w:tcBorders>
            <w:vAlign w:val="top"/>
          </w:tcPr>
          <w:p>
            <w:pPr>
              <w:ind w:firstLine="420"/>
              <w:jc w:val="left"/>
            </w:pPr>
            <w:r>
              <w:rPr>
                <w:sz w:val="24"/>
              </w:rPr>
              <w:t>签定日期：</w:t>
            </w:r>
            <w:r>
              <w:rPr>
                <w:sz w:val="24"/>
              </w:rPr>
              <w:t xml:space="preserve">   </w:t>
            </w:r>
            <w:r>
              <w:rPr>
                <w:sz w:val="24"/>
              </w:rPr>
              <w:t>年</w:t>
            </w:r>
            <w:r>
              <w:rPr>
                <w:sz w:val="24"/>
              </w:rPr>
              <w:t xml:space="preserve">   </w:t>
            </w:r>
            <w:r>
              <w:rPr>
                <w:sz w:val="24"/>
              </w:rPr>
              <w:t>月</w:t>
            </w:r>
            <w:r>
              <w:rPr>
                <w:sz w:val="24"/>
              </w:rPr>
              <w:t xml:space="preserve">   </w:t>
            </w:r>
            <w:r>
              <w:rPr>
                <w:sz w:val="24"/>
              </w:rPr>
              <w:t>日</w:t>
            </w:r>
          </w:p>
        </w:tc>
      </w:tr>
      <w:tr>
        <w:tc>
          <w:tcPr>
            <w:tcW w:type="dxa" w:w="3860"/>
            <w:tcBorders>
              <w:top w:val="none" w:color="000000" w:sz="4"/>
              <w:left w:val="none" w:color="000000" w:sz="4"/>
              <w:bottom w:val="none" w:color="000000" w:sz="4"/>
              <w:right w:val="none" w:color="000000" w:sz="4"/>
            </w:tcBorders>
            <w:vAlign w:val="top"/>
          </w:tcPr>
          <w:p>
            <w:pPr>
              <w:ind w:firstLine="420"/>
              <w:jc w:val="left"/>
            </w:pPr>
          </w:p>
        </w:tc>
        <w:tc>
          <w:tcPr>
            <w:tcW w:type="dxa" w:w="4446"/>
            <w:tcBorders>
              <w:top w:val="none" w:color="000000" w:sz="4"/>
              <w:left w:val="none" w:color="000000" w:sz="4"/>
              <w:bottom w:val="none" w:color="000000" w:sz="4"/>
              <w:right w:val="none" w:color="000000" w:sz="4"/>
            </w:tcBorders>
            <w:vAlign w:val="top"/>
          </w:tcPr>
          <w:p>
            <w:pPr>
              <w:ind w:firstLine="420"/>
              <w:jc w:val="left"/>
            </w:pPr>
            <w:r>
              <w:rPr>
                <w:sz w:val="24"/>
              </w:rPr>
              <w:t>开户名称：</w:t>
            </w:r>
          </w:p>
        </w:tc>
      </w:tr>
      <w:tr>
        <w:tc>
          <w:tcPr>
            <w:tcW w:type="dxa" w:w="3860"/>
            <w:tcBorders>
              <w:top w:val="none" w:color="000000" w:sz="4"/>
              <w:left w:val="none" w:color="000000" w:sz="4"/>
              <w:bottom w:val="none" w:color="000000" w:sz="4"/>
              <w:right w:val="none" w:color="000000" w:sz="4"/>
            </w:tcBorders>
            <w:vAlign w:val="top"/>
          </w:tcPr>
          <w:p>
            <w:pPr>
              <w:ind w:firstLine="420"/>
              <w:jc w:val="left"/>
            </w:pPr>
          </w:p>
        </w:tc>
        <w:tc>
          <w:tcPr>
            <w:tcW w:type="dxa" w:w="4446"/>
            <w:tcBorders>
              <w:top w:val="none" w:color="000000" w:sz="4"/>
              <w:left w:val="none" w:color="000000" w:sz="4"/>
              <w:bottom w:val="none" w:color="000000" w:sz="4"/>
              <w:right w:val="none" w:color="000000" w:sz="4"/>
            </w:tcBorders>
            <w:vAlign w:val="top"/>
          </w:tcPr>
          <w:p>
            <w:pPr>
              <w:ind w:firstLine="420"/>
              <w:jc w:val="left"/>
            </w:pPr>
            <w:r>
              <w:rPr>
                <w:sz w:val="24"/>
              </w:rPr>
              <w:t>开户行：</w:t>
            </w:r>
          </w:p>
        </w:tc>
      </w:tr>
      <w:tr>
        <w:tc>
          <w:tcPr>
            <w:tcW w:type="dxa" w:w="3860"/>
            <w:tcBorders>
              <w:top w:val="none" w:color="000000" w:sz="4"/>
              <w:left w:val="none" w:color="000000" w:sz="4"/>
              <w:bottom w:val="none" w:color="000000" w:sz="4"/>
              <w:right w:val="none" w:color="000000" w:sz="4"/>
            </w:tcBorders>
            <w:vAlign w:val="top"/>
          </w:tcPr>
          <w:p>
            <w:pPr>
              <w:ind w:firstLine="420"/>
              <w:jc w:val="left"/>
            </w:pPr>
          </w:p>
        </w:tc>
        <w:tc>
          <w:tcPr>
            <w:tcW w:type="dxa" w:w="4446"/>
            <w:tcBorders>
              <w:top w:val="none" w:color="000000" w:sz="4"/>
              <w:left w:val="none" w:color="000000" w:sz="4"/>
              <w:bottom w:val="none" w:color="000000" w:sz="4"/>
              <w:right w:val="none" w:color="000000" w:sz="4"/>
            </w:tcBorders>
            <w:vAlign w:val="top"/>
          </w:tcPr>
          <w:p>
            <w:pPr>
              <w:ind w:firstLine="420"/>
              <w:jc w:val="left"/>
            </w:pPr>
            <w:r>
              <w:rPr>
                <w:sz w:val="24"/>
              </w:rPr>
              <w:t>银行帐号：</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440115-2022-05460</w:t>
      </w:r>
    </w:p>
    <w:p>
      <w:pPr>
        <w:jc w:val="center"/>
      </w:pPr>
      <w:r>
        <w:rPr>
          <w:b/>
          <w:sz w:val="24"/>
        </w:rPr>
        <w:t>采购项目编号：</w:t>
      </w:r>
      <w:r>
        <w:rPr>
          <w:b/>
          <w:sz w:val="24"/>
        </w:rPr>
        <w:t>PZGKCZ220214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品正招标采购（广州）有限公司</w:t>
      </w:r>
    </w:p>
    <w:p>
      <w:pPr>
        <w:ind w:firstLine="480"/>
      </w:pPr>
      <w:r>
        <w:rPr/>
        <w:t>你方组织的</w:t>
      </w:r>
      <w:r>
        <w:rPr>
          <w:u w:val="single"/>
        </w:rPr>
        <w:t>“</w:t>
      </w:r>
      <w:r>
        <w:rPr>
          <w:u w:val="single"/>
        </w:rPr>
        <w:t>广州市南沙区大岗镇新冠肺炎疫情防控医疗用品采购项目</w:t>
      </w:r>
      <w:r>
        <w:rPr>
          <w:u w:val="single"/>
        </w:rPr>
        <w:t>”</w:t>
      </w:r>
      <w:r>
        <w:rPr/>
        <w:t>项目的招标[采购项目编号为：</w:t>
      </w:r>
      <w:r>
        <w:rPr>
          <w:u w:val="single"/>
        </w:rPr>
        <w:t>PZGKCZ220214</w:t>
      </w:r>
      <w:r>
        <w:rPr/>
        <w:t>]，我方愿参与投标。</w:t>
      </w:r>
    </w:p>
    <w:p>
      <w:pPr>
        <w:ind w:firstLine="480"/>
      </w:pPr>
      <w:r>
        <w:rPr/>
        <w:t>我方确认收到贵方提供的</w:t>
      </w:r>
      <w:r>
        <w:rPr>
          <w:u w:val="single"/>
        </w:rPr>
        <w:t>“</w:t>
      </w:r>
      <w:r>
        <w:rPr>
          <w:u w:val="single"/>
        </w:rPr>
        <w:t>广州市南沙区大岗镇新冠肺炎疫情防控医疗用品采购项目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品正招标采购（广州）有限公司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广州市南沙区大岗镇新冠肺炎疫情防控医疗用品采购项目</w:t>
      </w:r>
      <w:r>
        <w:rPr/>
        <w:t>”项目采购[采购项目编号为</w:t>
      </w:r>
      <w:r>
        <w:rPr/>
        <w:t>PZGKCZ220214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广州市南沙区大岗镇人民政府</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品正招标采购（广州）有限公司</w:t>
      </w:r>
    </w:p>
    <w:p>
      <w:pPr>
        <w:ind w:firstLine="480"/>
      </w:pPr>
      <w:r>
        <w:rPr/>
        <w:t>如果我方在贵采购代理机构组织的</w:t>
      </w:r>
      <w:r>
        <w:rPr/>
        <w:t>广州市南沙区大岗镇新冠肺炎疫情防控医疗用品采购项目</w:t>
      </w:r>
      <w:r>
        <w:rPr/>
        <w:t>招标中获中标（采购项目编号：</w:t>
      </w:r>
      <w:r>
        <w:rPr/>
        <w:t>PZGKCZ220214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品正招标采购（广州）有限公司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