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440115-2022-04340</w:t>
      </w:r>
    </w:p>
    <w:p>
      <w:pPr>
        <w:jc w:val="center"/>
      </w:pPr>
      <w:r>
        <w:rPr>
          <w:b/>
          <w:sz w:val="24"/>
        </w:rPr>
        <w:t>采购项目编号：</w:t>
      </w:r>
      <w:r>
        <w:rPr>
          <w:b/>
          <w:sz w:val="24"/>
        </w:rPr>
        <w:t>PZGKCZ220313</w:t>
      </w:r>
    </w:p>
    <w:p>
      <w:pPr>
        <w:jc w:val="center"/>
      </w:pPr>
      <w:r>
        <w:rPr>
          <w:b/>
          <w:sz w:val="24"/>
        </w:rPr>
        <w:t>项目名称：</w:t>
      </w:r>
      <w:r>
        <w:rPr>
          <w:b/>
          <w:sz w:val="24"/>
        </w:rPr>
        <w:t>广州市南沙区龙穴街综合养老服务中心运营项目</w:t>
      </w:r>
    </w:p>
    <w:p>
      <w:pPr>
        <w:jc w:val="center"/>
      </w:pPr>
      <w:r>
        <w:rPr>
          <w:b/>
          <w:sz w:val="24"/>
        </w:rPr>
        <w:t>采购人：</w:t>
      </w:r>
      <w:r>
        <w:rPr>
          <w:b/>
          <w:sz w:val="24"/>
        </w:rPr>
        <w:t>广州市南沙区人民政府龙穴街道办事处</w:t>
      </w:r>
    </w:p>
    <w:p>
      <w:pPr>
        <w:jc w:val="center"/>
      </w:pPr>
      <w:r>
        <w:rPr>
          <w:b/>
          <w:sz w:val="24"/>
        </w:rPr>
        <w:t>采购代理机构：</w:t>
      </w:r>
      <w:r>
        <w:rPr>
          <w:b/>
          <w:sz w:val="24"/>
        </w:rPr>
        <w:t>品正招标采购（广州）有限公司</w:t>
      </w:r>
    </w:p>
    <w:p>
      <w:pPr>
        <w:ind w:firstLine="480"/>
      </w:pPr>
    </w:p>
    <w:p>
      <w:r>
        <w:rPr/>
        <w:t xml:space="preserve"> </w:t>
      </w:r>
    </w:p>
    <w:p/>
    <w:p>
      <w:pPr>
        <w:jc w:val="center"/>
      </w:pPr>
      <w:r>
        <w:rPr>
          <w:b/>
          <w:sz w:val="36"/>
        </w:rPr>
        <w:t>第一章投标邀请</w:t>
      </w:r>
    </w:p>
    <w:p>
      <w:pPr>
        <w:ind w:firstLine="480"/>
      </w:pPr>
      <w:r>
        <w:rPr/>
        <w:t>品正招标采购（广州）有限公司</w:t>
      </w:r>
      <w:r>
        <w:rPr/>
        <w:t>受</w:t>
      </w:r>
      <w:r>
        <w:rPr/>
        <w:t>广州市南沙区人民政府龙穴街道办事处</w:t>
      </w:r>
      <w:r>
        <w:rPr/>
        <w:t>的委托，采用</w:t>
      </w:r>
      <w:r>
        <w:rPr/>
        <w:t>公开招标</w:t>
      </w:r>
      <w:r>
        <w:rPr/>
        <w:t>方式组织采购</w:t>
      </w:r>
      <w:r>
        <w:rPr/>
        <w:t>广州市南沙区龙穴街综合养老服务中心运营项目</w:t>
      </w:r>
      <w:r>
        <w:rPr/>
        <w:t>。欢迎符合资格条件的国内供应商参加投标。</w:t>
      </w:r>
    </w:p>
    <w:p>
      <w:r>
        <w:rPr>
          <w:b/>
          <w:sz w:val="28"/>
        </w:rPr>
        <w:t>一.项目概述</w:t>
      </w:r>
    </w:p>
    <w:p>
      <w:r>
        <w:rPr>
          <w:b/>
          <w:sz w:val="24"/>
        </w:rPr>
        <w:t>1.名称与编号</w:t>
      </w:r>
    </w:p>
    <w:p>
      <w:pPr>
        <w:ind w:firstLine="480"/>
      </w:pPr>
      <w:r>
        <w:rPr/>
        <w:t>项目名称：</w:t>
      </w:r>
      <w:r>
        <w:rPr/>
        <w:t>广州市南沙区龙穴街综合养老服务中心运营项目</w:t>
      </w:r>
    </w:p>
    <w:p>
      <w:pPr>
        <w:ind w:firstLine="480"/>
      </w:pPr>
      <w:r>
        <w:rPr/>
        <w:t>采购计划编号：</w:t>
      </w:r>
      <w:r>
        <w:rPr/>
        <w:t>440115-2022-04340</w:t>
      </w:r>
    </w:p>
    <w:p>
      <w:pPr>
        <w:ind w:firstLine="480"/>
      </w:pPr>
      <w:r>
        <w:rPr/>
        <w:t>采购项目编号：</w:t>
      </w:r>
      <w:r>
        <w:rPr/>
        <w:t>PZGKCZ220313</w:t>
      </w:r>
    </w:p>
    <w:p>
      <w:pPr>
        <w:ind w:firstLine="480"/>
      </w:pPr>
      <w:r>
        <w:rPr/>
        <w:t>采购方式：</w:t>
      </w:r>
      <w:r>
        <w:rPr/>
        <w:t>公开招标</w:t>
      </w:r>
    </w:p>
    <w:p>
      <w:pPr>
        <w:ind w:firstLine="480"/>
      </w:pPr>
      <w:r>
        <w:rPr/>
        <w:t>预算金额：</w:t>
      </w:r>
      <w:r>
        <w:rPr/>
        <w:t>1,300,000.00</w:t>
      </w:r>
      <w:r>
        <w:rPr/>
        <w:t>元</w:t>
      </w:r>
    </w:p>
    <w:p>
      <w:r>
        <w:rPr>
          <w:b/>
          <w:sz w:val="24"/>
        </w:rPr>
        <w:t>2.项目内容及需求情况（采购项目技术规格、参数及要求）</w:t>
      </w:r>
    </w:p>
    <w:p>
      <w:pPr>
        <w:ind w:firstLine="480"/>
      </w:pPr>
    </w:p>
    <w:p/>
    <w:p>
      <w:r>
        <w:rPr/>
        <w:t>采购包1(广州市南沙区龙穴街综合养老服务中心运营项目):</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广州市南沙区龙穴街综合养老服务中心运营项目</w:t>
            </w:r>
          </w:p>
        </w:tc>
        <w:tc>
          <w:tcPr>
            <w:tcW w:type="dxa" w:w="1187"/>
          </w:tcPr>
          <w:p>
            <w:r>
              <w:rPr/>
              <w:t>2.00(年)</w:t>
            </w:r>
          </w:p>
        </w:tc>
        <w:tc>
          <w:tcPr>
            <w:tcW w:type="dxa" w:w="1187"/>
          </w:tcPr>
          <w:p>
            <w:r>
              <w:rPr/>
              <w:t>详见第二章</w:t>
            </w:r>
          </w:p>
        </w:tc>
        <w:tc>
          <w:tcPr>
            <w:tcW w:type="dxa" w:w="1187"/>
          </w:tcPr>
          <w:p>
            <w:r>
              <w:rPr/>
              <w:t>否</w:t>
            </w:r>
          </w:p>
        </w:tc>
      </w:tr>
    </w:tbl>
    <w:p/>
    <w:p>
      <w:r>
        <w:rPr/>
        <w:t>本采购包接受联合体投标</w:t>
      </w:r>
    </w:p>
    <w:p/>
    <w:p>
      <w:r>
        <w:rPr/>
        <w:t>合同履行期限：自服务期生效之日起算，服务期为2年。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p/>
    <w:p>
      <w:r>
        <w:rPr/>
        <w:t>2）有依法缴纳税收和社会保障资金的良好记录：提供供应商资格声明函（格式自拟）</w:t>
      </w:r>
    </w:p>
    <w:p/>
    <w:p>
      <w:r>
        <w:rPr/>
        <w:t>3）具有良好的商业信誉和健全的财务会计制度：提供供应商资格声明函（格式自拟）</w:t>
      </w:r>
    </w:p>
    <w:p/>
    <w:p>
      <w:r>
        <w:rPr/>
        <w:t>4）履行合同所必需的设备和专业技术能力：提供供应商资格声明函（格式自拟）</w:t>
      </w:r>
    </w:p>
    <w:p/>
    <w:p>
      <w:r>
        <w:rPr/>
        <w:t>5）参加采购活动前3年内，在经营活动中没有重大违法记录：提供供应商资格声明函（格式自拟）。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采购包1（广州市南沙区龙穴街综合养老服务中心运营项目）：</w:t>
      </w:r>
      <w:r>
        <w:rPr/>
        <w:t>供应商提供的货物或服务须全部由中小企业生产且使用该中小企业商号或注册商标，该中小企业须符合本项目采购标的对应行业（本项目行业为： 其他未列明行业 ）的政策划分标准（监狱企业、残疾人福利性单位视同小微企业）。中小企业以供应商填写的《中小企业声明函》为判定标准；残疾人福利性单位以供应商提供的《残疾人福利性单位声明函》为判定标准；监狱企业须供应商提供由省级以上监狱管理局、戒毒管理局（含新疆生产建设兵团）出具的属于监狱企业的证明文件，否则不予认定。联合体投标的，各方需均符合本项目采购标的对应行业（本项目行业为：其他未列明行业）的政策划分标准（监狱企业、残疾人福利性单位视同小微企业）。</w:t>
      </w:r>
    </w:p>
    <w:p/>
    <w:p>
      <w:r>
        <w:rPr>
          <w:b/>
          <w:sz w:val="24"/>
        </w:rPr>
        <w:t>3.本项目特定的资格要求：</w:t>
      </w:r>
    </w:p>
    <w:p>
      <w:pPr>
        <w:ind w:firstLine="480"/>
      </w:pPr>
    </w:p>
    <w:p/>
    <w:p>
      <w:r>
        <w:rPr/>
        <w:t>采购包1（广州市南沙区龙穴街综合养老服务中心运营项目）：</w:t>
      </w:r>
    </w:p>
    <w:p/>
    <w:p>
      <w:r>
        <w:rPr/>
        <w:t>1)供应商未被列入“信用中国”网站(www.creditchina.gov.cn)“记录失信被执行人或重大税收违失信主体或政府采购严重违法失信行为记录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查询结果为准，如相关失信记录已失效，供应商需提供相关证明资料）。联合体投标的，各方均需满足上述要求。</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函相关承诺要求内容。提供《投标函》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品正招标采购（广州）有限公司网站（http://www.pinzhengzhaobiao.com/）</w:t>
      </w:r>
      <w:r>
        <w:rPr/>
        <w:t>。</w:t>
      </w:r>
    </w:p>
    <w:p>
      <w:r>
        <w:rPr>
          <w:b/>
          <w:sz w:val="28"/>
        </w:rPr>
        <w:t>六.本项目联系方式：</w:t>
      </w:r>
    </w:p>
    <w:p>
      <w:r>
        <w:rPr>
          <w:b/>
          <w:sz w:val="24"/>
        </w:rPr>
        <w:t>1.采购人信息</w:t>
      </w:r>
    </w:p>
    <w:p>
      <w:pPr>
        <w:ind w:firstLine="480"/>
      </w:pPr>
      <w:r>
        <w:rPr/>
        <w:t>名称：</w:t>
      </w:r>
      <w:r>
        <w:rPr/>
        <w:t>广州市南沙区人民政府龙穴街道办事处</w:t>
      </w:r>
    </w:p>
    <w:p>
      <w:pPr>
        <w:ind w:firstLine="480"/>
      </w:pPr>
      <w:r>
        <w:rPr/>
        <w:t>地址：</w:t>
      </w:r>
      <w:r>
        <w:rPr/>
        <w:t>广州市南沙区龙穴街口岸大厦</w:t>
      </w:r>
    </w:p>
    <w:p>
      <w:pPr>
        <w:ind w:firstLine="480"/>
      </w:pPr>
      <w:r>
        <w:rPr/>
        <w:t>联系方式：</w:t>
      </w:r>
      <w:r>
        <w:rPr/>
        <w:t>34662661</w:t>
      </w:r>
    </w:p>
    <w:p>
      <w:r>
        <w:rPr>
          <w:b/>
          <w:sz w:val="24"/>
        </w:rPr>
        <w:t>2.采购代理机构信息</w:t>
      </w:r>
    </w:p>
    <w:p>
      <w:pPr>
        <w:ind w:firstLine="480"/>
      </w:pPr>
      <w:r>
        <w:rPr/>
        <w:t>名称：</w:t>
      </w:r>
      <w:r>
        <w:rPr/>
        <w:t>品正招标采购（广州）有限公司</w:t>
      </w:r>
    </w:p>
    <w:p>
      <w:pPr>
        <w:ind w:firstLine="480"/>
      </w:pPr>
      <w:r>
        <w:rPr/>
        <w:t>地址：</w:t>
      </w:r>
      <w:r>
        <w:rPr/>
        <w:t>广东省广州市南沙区东涌镇大同村市南公路13号茂源创意园A座302</w:t>
      </w:r>
    </w:p>
    <w:p>
      <w:pPr>
        <w:ind w:firstLine="480"/>
      </w:pPr>
      <w:r>
        <w:rPr/>
        <w:t>联系方式：</w:t>
      </w:r>
      <w:r>
        <w:rPr/>
        <w:t>(020)22634050</w:t>
      </w:r>
    </w:p>
    <w:p>
      <w:r>
        <w:rPr>
          <w:b/>
          <w:sz w:val="24"/>
        </w:rPr>
        <w:t>3.项目联系方式</w:t>
      </w:r>
    </w:p>
    <w:p>
      <w:pPr>
        <w:ind w:firstLine="480"/>
      </w:pPr>
      <w:r>
        <w:rPr/>
        <w:t>项目联系人：</w:t>
      </w:r>
      <w:r>
        <w:rPr/>
        <w:t>何小姐</w:t>
      </w:r>
    </w:p>
    <w:p>
      <w:pPr>
        <w:ind w:firstLine="480"/>
      </w:pPr>
      <w:r>
        <w:rPr/>
        <w:t>电话：</w:t>
      </w:r>
      <w:r>
        <w:rPr/>
        <w:t>(020)22634050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品正招标采购（广州）有限公司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 xml:space="preserve">   （一）</w:t>
      </w:r>
      <w:r>
        <w:rPr>
          <w:b/>
          <w:sz w:val="24"/>
        </w:rPr>
        <w:t>项目名称</w:t>
      </w:r>
    </w:p>
    <w:p>
      <w:pPr>
        <w:ind w:firstLine="480"/>
        <w:jc w:val="both"/>
      </w:pPr>
      <w:r>
        <w:rPr>
          <w:sz w:val="24"/>
        </w:rPr>
        <w:t>广州市南沙区龙穴街综合养老服务中心运营项目。</w:t>
      </w:r>
    </w:p>
    <w:p>
      <w:pPr>
        <w:ind w:firstLine="480"/>
        <w:jc w:val="both"/>
      </w:pPr>
      <w:r>
        <w:rPr>
          <w:b/>
          <w:sz w:val="24"/>
        </w:rPr>
        <w:t>（二）服务期</w:t>
      </w:r>
    </w:p>
    <w:p>
      <w:pPr>
        <w:ind w:firstLine="480"/>
        <w:jc w:val="both"/>
      </w:pPr>
      <w:r>
        <w:rPr>
          <w:sz w:val="24"/>
        </w:rPr>
        <w:t>自服务期生效之日起算，服务期为2年。</w:t>
      </w:r>
    </w:p>
    <w:p>
      <w:pPr>
        <w:ind w:firstLine="240"/>
        <w:jc w:val="both"/>
      </w:pPr>
      <w:r>
        <w:rPr>
          <w:sz w:val="24"/>
        </w:rPr>
        <w:t xml:space="preserve">  （三）</w:t>
      </w:r>
      <w:r>
        <w:rPr>
          <w:b/>
          <w:sz w:val="24"/>
        </w:rPr>
        <w:t>项目报价</w:t>
      </w:r>
    </w:p>
    <w:p>
      <w:pPr>
        <w:ind w:firstLine="480"/>
      </w:pPr>
      <w:r>
        <w:rPr>
          <w:sz w:val="24"/>
        </w:rPr>
        <w:t>1.项目单价最高限价：每年人民币650000.00元。</w:t>
      </w:r>
    </w:p>
    <w:p>
      <w:pPr>
        <w:ind w:firstLine="480"/>
      </w:pPr>
      <w:r>
        <w:rPr>
          <w:sz w:val="24"/>
        </w:rPr>
        <w:t>2.</w:t>
      </w:r>
      <w:r>
        <w:rPr>
          <w:sz w:val="24"/>
        </w:rPr>
        <w:t>★</w:t>
      </w:r>
      <w:r>
        <w:rPr>
          <w:sz w:val="24"/>
        </w:rPr>
        <w:t>服务报价要求：供应商报价时应报出年度专业服务总工时，低于</w:t>
      </w:r>
      <w:r>
        <w:rPr>
          <w:b/>
          <w:sz w:val="24"/>
        </w:rPr>
        <w:t>年度最低专业服务总工时</w:t>
      </w:r>
      <w:r>
        <w:rPr>
          <w:sz w:val="24"/>
        </w:rPr>
        <w:t>以及</w:t>
      </w:r>
      <w:r>
        <w:rPr>
          <w:sz w:val="24"/>
        </w:rPr>
        <w:t>高于</w:t>
      </w:r>
      <w:r>
        <w:rPr>
          <w:b/>
          <w:sz w:val="24"/>
        </w:rPr>
        <w:t>年度最高专业服务总工时</w:t>
      </w:r>
      <w:r>
        <w:rPr>
          <w:sz w:val="24"/>
        </w:rPr>
        <w:t>的</w:t>
      </w:r>
      <w:r>
        <w:rPr>
          <w:sz w:val="24"/>
        </w:rPr>
        <w:t>报价为无效报价。</w:t>
      </w:r>
      <w:r>
        <w:rPr>
          <w:sz w:val="24"/>
        </w:rPr>
        <w:t>（提供工时报价格式自拟）</w:t>
      </w:r>
    </w:p>
    <w:p>
      <w:pPr>
        <w:ind w:firstLine="480"/>
      </w:pPr>
      <w:r>
        <w:rPr>
          <w:sz w:val="24"/>
        </w:rPr>
        <w:t>★报价时要求供应商提交项目运营经费明细表，包含所要求配备服务人员薪酬待遇（人员薪酬、五险一金、人身意外险），康复医疗服务技术支持费用，文化娱乐服务经费（详见“具体服务项目和内容”），租赁一辆四轮电动车经费、管理费用（包含办公用品、税费、招标费用、场地保险、电信资费、宽带网络资费、网络维修、场地保洁等费用）。</w:t>
      </w:r>
      <w:r>
        <w:rPr>
          <w:sz w:val="24"/>
        </w:rPr>
        <w:t>（提供运营经费明细表格式自拟）</w:t>
      </w:r>
    </w:p>
    <w:p/>
    <w:p>
      <w:pPr>
        <w:ind w:firstLine="480"/>
      </w:pPr>
    </w:p>
    <w:p/>
    <w:p>
      <w:r>
        <w:rPr/>
        <w:t>合同包1（广州市南沙区龙穴街综合养老服务中心运营项目）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r>
              <w:rPr/>
              <w:t>自服务期生效之日起算，服务期为2年</w:t>
            </w:r>
          </w:p>
        </w:tc>
      </w:tr>
      <w:tr>
        <w:tc>
          <w:tcPr>
            <w:tcW w:type="dxa" w:w="4153"/>
          </w:tcPr>
          <w:p>
            <w:r>
              <w:rPr/>
              <w:t>标的提供的地点</w:t>
            </w:r>
          </w:p>
        </w:tc>
        <w:tc>
          <w:tcPr>
            <w:tcW w:type="dxa" w:w="4153"/>
          </w:tcPr>
          <w:p>
            <w:r>
              <w:rPr/>
              <w:t>广州市南沙区龙穴街</w:t>
            </w:r>
          </w:p>
        </w:tc>
      </w:tr>
      <w:tr>
        <w:tc>
          <w:tcPr>
            <w:tcW w:type="dxa" w:w="4153"/>
          </w:tcPr>
          <w:p>
            <w:r>
              <w:rPr/>
              <w:t>投标有效期</w:t>
            </w:r>
          </w:p>
        </w:tc>
        <w:tc>
          <w:tcPr>
            <w:tcW w:type="dxa" w:w="4153"/>
          </w:tcPr>
          <w:p>
            <w:r>
              <w:rPr/>
              <w:t>从提交投标（响应）文件的截止之日起90日历天</w:t>
            </w:r>
          </w:p>
        </w:tc>
      </w:tr>
      <w:tr>
        <w:tc>
          <w:tcPr>
            <w:tcW w:type="dxa" w:w="4153"/>
          </w:tcPr>
          <w:p>
            <w:r>
              <w:rPr/>
              <w:t>付款方式</w:t>
            </w:r>
          </w:p>
        </w:tc>
        <w:tc>
          <w:tcPr>
            <w:tcW w:type="dxa" w:w="4153"/>
          </w:tcPr>
          <w:p/>
          <w:p/>
          <w:p>
            <w:r>
              <w:rPr/>
              <w:t>1期：支付比例22.3%,第一次付款方式：支付比例为合同金额的22.3%，供应商从签订服务合同或委托服务协议书的服务期之日起，采购人在2022年11月底前完成支付。</w:t>
            </w:r>
          </w:p>
          <w:p/>
          <w:p>
            <w:r>
              <w:rPr/>
              <w:t>2期：支付比例36.15%,第二次付款方式：支付比例为合同金额的36.15%，采购人在2023年3月底前完成支付手续。</w:t>
            </w:r>
          </w:p>
          <w:p/>
          <w:p>
            <w:r>
              <w:rPr/>
              <w:t>3期：支付比例36.15%,第三次付款方式：支付比例为合同金额的36.15%，采购人在2023年9月底前完成支付手续。</w:t>
            </w:r>
          </w:p>
          <w:p/>
          <w:p>
            <w:r>
              <w:rPr/>
              <w:t>4期：支付比例5.4%,第四次付款方式：支付比例为合同金额的5.4%，采购人在收到末期评估报告后，30个工作内办理尾款支付手续。</w:t>
            </w:r>
          </w:p>
        </w:tc>
      </w:tr>
      <w:tr>
        <w:tc>
          <w:tcPr>
            <w:tcW w:type="dxa" w:w="4153"/>
          </w:tcPr>
          <w:p>
            <w:r>
              <w:rPr/>
              <w:t>验收要求</w:t>
            </w:r>
          </w:p>
        </w:tc>
        <w:tc>
          <w:tcPr>
            <w:tcW w:type="dxa" w:w="4153"/>
          </w:tcPr>
          <w:p/>
          <w:p/>
          <w:p/>
          <w:p>
            <w:r>
              <w:rPr/>
              <w:t>1期：按照上级部门的要求，每年应对服务机构进行两次评估，分为中期评估（服务期满6个月）和末期评估（服务期满评估）。服务机构在这2期评估期间，主动向采购人提交书面自评报告，由我街向区居家养老服务指导中心申请服务评估。服务评估参照服务指标表对各项指标进行评估，若上级部门对评估有新要求，按照最新要求执行。在中期和期末评估，采购人要求供应商综合得分达到70以上（含70分），综合等级为合格；各项服务评估得分为60分以上（含60分），各项服务评估为合格，供应商继续为采购人提供服务。在采购人收到评估报告之日起30天内，供应商应对各项不合格的服务项目进行服务整改，并提交书面的整改报告给采购人验收或备案，采购人可对供应商承接的各项服务评估等级不合格的予以扣减费用，每项扣款3000元。若供应商整改后仍然不合格的，采购人可向上级部门报告，服务单位在2年内不得参与我市政府购买社区居家养老服务项目投标工作。各项评估为不合格的服务项目，在每合同期的尾款中扣减。每年以中期评估结果：综合得分达到70以上（含70分），综合等级为合格，可续签第二年的服务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广州市南沙区龙穴街综合养老服务中心运营项目</w:t>
            </w:r>
          </w:p>
        </w:tc>
        <w:tc>
          <w:tcPr>
            <w:tcW w:type="dxa" w:w="933"/>
          </w:tcPr>
          <w:p>
            <w:pPr>
              <w:jc w:val="left"/>
            </w:pPr>
            <w:r>
              <w:rPr/>
              <w:t>年</w:t>
            </w:r>
          </w:p>
        </w:tc>
        <w:tc>
          <w:tcPr>
            <w:tcW w:type="dxa" w:w="933"/>
          </w:tcPr>
          <w:p>
            <w:pPr>
              <w:jc w:val="right"/>
            </w:pPr>
            <w:r>
              <w:rPr/>
              <w:t>2.00</w:t>
            </w:r>
          </w:p>
        </w:tc>
        <w:tc>
          <w:tcPr>
            <w:tcW w:type="dxa" w:w="933"/>
          </w:tcPr>
          <w:p>
            <w:pPr>
              <w:jc w:val="right"/>
            </w:pPr>
            <w:r>
              <w:rPr/>
              <w:t>650,000.00</w:t>
            </w:r>
          </w:p>
        </w:tc>
        <w:tc>
          <w:tcPr>
            <w:tcW w:type="dxa" w:w="933"/>
          </w:tcPr>
          <w:p>
            <w:pPr>
              <w:jc w:val="right"/>
            </w:pPr>
            <w:r>
              <w:rPr/>
              <w:t>1,300,000.00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广州市南沙区龙穴街综合养老服务中心运营项目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0"/>
              <w:jc w:val="both"/>
            </w:pPr>
            <w:r>
              <w:rPr>
                <w:sz w:val="24"/>
              </w:rPr>
              <w:t>注：《用户需求书》中标注有“★”号的条款必须实质性响应，不允许负偏离（不满足要求），否则将被视为无效投标。</w:t>
            </w:r>
          </w:p>
          <w:p>
            <w:pPr>
              <w:ind w:firstLine="480"/>
              <w:jc w:val="both"/>
            </w:pPr>
            <w:r>
              <w:rPr>
                <w:b/>
                <w:sz w:val="24"/>
              </w:rPr>
              <w:t>一、项目概况</w:t>
            </w:r>
          </w:p>
          <w:p>
            <w:pPr>
              <w:ind w:firstLine="480"/>
              <w:jc w:val="both"/>
            </w:pPr>
            <w:r>
              <w:rPr>
                <w:b/>
                <w:sz w:val="24"/>
              </w:rPr>
              <w:t>（一）项目名称</w:t>
            </w:r>
          </w:p>
          <w:p>
            <w:pPr>
              <w:ind w:firstLine="480"/>
              <w:jc w:val="both"/>
            </w:pPr>
            <w:r>
              <w:rPr>
                <w:sz w:val="24"/>
              </w:rPr>
              <w:t>广州市南沙区龙穴街综合养老服务中心运营项目。</w:t>
            </w:r>
          </w:p>
          <w:p>
            <w:pPr>
              <w:jc w:val="both"/>
            </w:pPr>
            <w:r>
              <w:rPr>
                <w:b/>
                <w:sz w:val="24"/>
              </w:rPr>
              <w:t>（二）服务期</w:t>
            </w:r>
          </w:p>
          <w:p>
            <w:pPr>
              <w:ind w:firstLine="480"/>
              <w:jc w:val="both"/>
            </w:pPr>
            <w:r>
              <w:rPr>
                <w:sz w:val="24"/>
              </w:rPr>
              <w:t>自服务期生效之日起算，服务期为2年。</w:t>
            </w:r>
          </w:p>
          <w:p>
            <w:pPr>
              <w:ind w:firstLine="240"/>
              <w:jc w:val="both"/>
            </w:pPr>
            <w:r>
              <w:rPr>
                <w:sz w:val="24"/>
              </w:rPr>
              <w:t xml:space="preserve">  （三）</w:t>
            </w:r>
            <w:r>
              <w:rPr>
                <w:b/>
                <w:sz w:val="24"/>
              </w:rPr>
              <w:t>项目报价</w:t>
            </w:r>
          </w:p>
          <w:p>
            <w:pPr>
              <w:ind w:firstLine="480"/>
            </w:pPr>
            <w:r>
              <w:rPr>
                <w:sz w:val="24"/>
              </w:rPr>
              <w:t>1.项目单价最高限价：每年人民币650000.00元。</w:t>
            </w:r>
          </w:p>
          <w:p>
            <w:pPr>
              <w:ind w:firstLine="480"/>
            </w:pPr>
            <w:r>
              <w:rPr>
                <w:sz w:val="24"/>
              </w:rPr>
              <w:t>2.</w:t>
            </w:r>
            <w:r>
              <w:rPr>
                <w:sz w:val="24"/>
              </w:rPr>
              <w:t>★</w:t>
            </w:r>
            <w:r>
              <w:rPr>
                <w:sz w:val="24"/>
              </w:rPr>
              <w:t>服务报价要求：供应商报价时应报出年度专业服务总工时，低于</w:t>
            </w:r>
            <w:r>
              <w:rPr>
                <w:b/>
                <w:sz w:val="24"/>
              </w:rPr>
              <w:t>年度最低专业服务总工时</w:t>
            </w:r>
            <w:r>
              <w:rPr>
                <w:sz w:val="24"/>
              </w:rPr>
              <w:t>以及</w:t>
            </w:r>
            <w:r>
              <w:rPr>
                <w:sz w:val="24"/>
              </w:rPr>
              <w:t>高于</w:t>
            </w:r>
            <w:r>
              <w:rPr>
                <w:b/>
                <w:sz w:val="24"/>
              </w:rPr>
              <w:t>年度最高专业服务总工时</w:t>
            </w:r>
            <w:r>
              <w:rPr>
                <w:sz w:val="24"/>
              </w:rPr>
              <w:t>的</w:t>
            </w:r>
            <w:r>
              <w:rPr>
                <w:sz w:val="24"/>
              </w:rPr>
              <w:t>报价为无效报价。</w:t>
            </w:r>
            <w:r>
              <w:rPr>
                <w:sz w:val="24"/>
              </w:rPr>
              <w:t>（提供工时报价格式自拟）</w:t>
            </w:r>
          </w:p>
          <w:p>
            <w:pPr>
              <w:ind w:firstLine="480"/>
            </w:pPr>
            <w:r>
              <w:rPr>
                <w:sz w:val="24"/>
              </w:rPr>
              <w:t>★报价时要求供应商提交项目运营经费明细表，包含所要求配备服务人员薪酬待遇（人员薪酬、五险一金、人身意外险），康复医疗服务技术支持费用，文化娱乐服务经费（详见“具体服务项目和内容”），租赁一辆四轮电动车经费、管理费用（包含办公用品、税费、招标费用、场地保险、电信资费、宽带网络资费、网络维修、场地保洁等费用）。</w:t>
            </w:r>
            <w:r>
              <w:rPr>
                <w:sz w:val="24"/>
              </w:rPr>
              <w:t>（提供运营经费明细表格式自拟）</w:t>
            </w:r>
          </w:p>
          <w:p>
            <w:pPr>
              <w:jc w:val="center"/>
            </w:pPr>
          </w:p>
          <w:p>
            <w:pPr>
              <w:jc w:val="center"/>
            </w:pPr>
            <w:r>
              <w:rPr>
                <w:b/>
                <w:sz w:val="24"/>
              </w:rPr>
              <w:t>表1运营经费一览表</w:t>
            </w:r>
          </w:p>
          <w:tbl>
            <w:tblPr>
              <w:tblBorders>
                <w:top w:val="none" w:color="000000" w:sz="4"/>
                <w:left w:val="none" w:color="000000" w:sz="4"/>
                <w:bottom w:val="none" w:color="000000" w:sz="4"/>
                <w:right w:val="none" w:color="000000" w:sz="4"/>
                <w:insideH w:val="none"/>
                <w:insideV w:val="none"/>
              </w:tblBorders>
            </w:tblPr>
            <w:tblGrid>
              <w:gridCol w:w="1170"/>
              <w:gridCol w:w="1404"/>
              <w:gridCol w:w="1219"/>
              <w:gridCol w:w="799"/>
              <w:gridCol w:w="985"/>
            </w:tblGrid>
            <w:tr>
              <w:tc>
                <w:tcPr>
                  <w:tcW w:type="dxa" w:w="1170"/>
                  <w:tcBorders>
                    <w:top w:val="single" w:color="000000" w:sz="4"/>
                    <w:left w:val="single" w:color="000000" w:sz="4"/>
                    <w:bottom w:val="single" w:color="000000" w:sz="4"/>
                    <w:right w:val="single" w:color="000000" w:sz="4"/>
                  </w:tcBorders>
                  <w:vAlign w:val="top"/>
                </w:tcPr>
                <w:p>
                  <w:pPr>
                    <w:jc w:val="center"/>
                  </w:pPr>
                  <w:r>
                    <w:rPr>
                      <w:b/>
                      <w:sz w:val="24"/>
                    </w:rPr>
                    <w:t>项目</w:t>
                  </w:r>
                </w:p>
              </w:tc>
              <w:tc>
                <w:tcPr>
                  <w:tcW w:type="dxa" w:w="1404"/>
                  <w:tcBorders>
                    <w:top w:val="single" w:color="000000" w:sz="4"/>
                    <w:left w:val="single" w:color="000000" w:sz="4"/>
                    <w:bottom w:val="single" w:color="000000" w:sz="4"/>
                    <w:right w:val="single" w:color="000000" w:sz="4"/>
                  </w:tcBorders>
                  <w:vAlign w:val="top"/>
                </w:tcPr>
                <w:p>
                  <w:pPr>
                    <w:jc w:val="center"/>
                  </w:pPr>
                  <w:r>
                    <w:rPr>
                      <w:b/>
                      <w:sz w:val="24"/>
                    </w:rPr>
                    <w:t>年度最低服务总工时</w:t>
                  </w:r>
                </w:p>
              </w:tc>
              <w:tc>
                <w:tcPr>
                  <w:tcW w:type="dxa" w:w="1219"/>
                  <w:tcBorders>
                    <w:top w:val="single" w:color="000000" w:sz="4"/>
                    <w:left w:val="single" w:color="000000" w:sz="4"/>
                    <w:bottom w:val="single" w:color="000000" w:sz="4"/>
                    <w:right w:val="single" w:color="000000" w:sz="4"/>
                  </w:tcBorders>
                  <w:vAlign w:val="top"/>
                </w:tcPr>
                <w:p>
                  <w:pPr>
                    <w:jc w:val="center"/>
                  </w:pPr>
                  <w:r>
                    <w:rPr>
                      <w:b/>
                      <w:sz w:val="24"/>
                    </w:rPr>
                    <w:t>年度最高服务总工时</w:t>
                  </w:r>
                </w:p>
              </w:tc>
              <w:tc>
                <w:tcPr>
                  <w:tcW w:type="dxa" w:w="799"/>
                  <w:tcBorders>
                    <w:top w:val="single" w:color="000000" w:sz="4"/>
                    <w:left w:val="single" w:color="000000" w:sz="4"/>
                    <w:bottom w:val="single" w:color="000000" w:sz="4"/>
                    <w:right w:val="single" w:color="000000" w:sz="4"/>
                  </w:tcBorders>
                  <w:vAlign w:val="top"/>
                </w:tcPr>
                <w:p>
                  <w:pPr>
                    <w:jc w:val="center"/>
                  </w:pPr>
                  <w:r>
                    <w:rPr>
                      <w:b/>
                      <w:sz w:val="24"/>
                    </w:rPr>
                    <w:t>采购预算（万元）</w:t>
                  </w:r>
                </w:p>
              </w:tc>
              <w:tc>
                <w:tcPr>
                  <w:tcW w:type="dxa" w:w="985"/>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1170"/>
                  <w:tcBorders>
                    <w:top w:val="none" w:color="000000" w:sz="4"/>
                    <w:left w:val="single" w:color="000000" w:sz="4"/>
                    <w:bottom w:val="single" w:color="000000" w:sz="4"/>
                    <w:right w:val="single" w:color="000000" w:sz="4"/>
                  </w:tcBorders>
                  <w:vAlign w:val="top"/>
                </w:tcPr>
                <w:p>
                  <w:pPr>
                    <w:jc w:val="both"/>
                  </w:pPr>
                  <w:r>
                    <w:rPr>
                      <w:sz w:val="24"/>
                    </w:rPr>
                    <w:t>龙穴街综合养老服务中心运营项目</w:t>
                  </w:r>
                </w:p>
              </w:tc>
              <w:tc>
                <w:tcPr>
                  <w:tcW w:type="dxa" w:w="1404"/>
                  <w:tcBorders>
                    <w:top w:val="none" w:color="000000" w:sz="4"/>
                    <w:left w:val="single" w:color="000000" w:sz="4"/>
                    <w:bottom w:val="single" w:color="000000" w:sz="4"/>
                    <w:right w:val="single" w:color="000000" w:sz="4"/>
                  </w:tcBorders>
                  <w:vAlign w:val="top"/>
                </w:tcPr>
                <w:p>
                  <w:pPr>
                    <w:jc w:val="center"/>
                  </w:pPr>
                  <w:r>
                    <w:rPr>
                      <w:sz w:val="24"/>
                    </w:rPr>
                    <w:t>7275小时</w:t>
                  </w:r>
                </w:p>
                <w:p>
                  <w:pPr>
                    <w:jc w:val="center"/>
                  </w:pPr>
                  <w:r>
                    <w:rPr>
                      <w:sz w:val="24"/>
                    </w:rPr>
                    <w:t>（2年，总工时：14550小时）</w:t>
                  </w:r>
                </w:p>
              </w:tc>
              <w:tc>
                <w:tcPr>
                  <w:tcW w:type="dxa" w:w="1219"/>
                  <w:tcBorders>
                    <w:top w:val="none" w:color="000000" w:sz="4"/>
                    <w:left w:val="single" w:color="000000" w:sz="4"/>
                    <w:bottom w:val="single" w:color="000000" w:sz="4"/>
                    <w:right w:val="single" w:color="000000" w:sz="4"/>
                  </w:tcBorders>
                  <w:vAlign w:val="top"/>
                </w:tcPr>
                <w:p>
                  <w:pPr>
                    <w:jc w:val="center"/>
                  </w:pPr>
                  <w:r>
                    <w:rPr>
                      <w:sz w:val="24"/>
                    </w:rPr>
                    <w:t>10780小时</w:t>
                  </w:r>
                </w:p>
                <w:p>
                  <w:pPr>
                    <w:jc w:val="center"/>
                  </w:pPr>
                  <w:r>
                    <w:rPr>
                      <w:sz w:val="24"/>
                    </w:rPr>
                    <w:t>（2年，总工时：21560小时）</w:t>
                  </w:r>
                </w:p>
              </w:tc>
              <w:tc>
                <w:tcPr>
                  <w:tcW w:type="dxa" w:w="799"/>
                  <w:tcBorders>
                    <w:top w:val="none" w:color="000000" w:sz="4"/>
                    <w:left w:val="single" w:color="000000" w:sz="4"/>
                    <w:bottom w:val="single" w:color="000000" w:sz="4"/>
                    <w:right w:val="single" w:color="000000" w:sz="4"/>
                  </w:tcBorders>
                  <w:vAlign w:val="top"/>
                </w:tcPr>
                <w:p>
                  <w:pPr>
                    <w:jc w:val="center"/>
                  </w:pPr>
                  <w:r>
                    <w:rPr>
                      <w:sz w:val="24"/>
                    </w:rPr>
                    <w:t>130</w:t>
                  </w:r>
                </w:p>
              </w:tc>
              <w:tc>
                <w:tcPr>
                  <w:tcW w:type="dxa" w:w="985"/>
                  <w:tcBorders>
                    <w:top w:val="none" w:color="000000" w:sz="4"/>
                    <w:left w:val="single" w:color="000000" w:sz="4"/>
                    <w:bottom w:val="single" w:color="000000" w:sz="4"/>
                    <w:right w:val="single" w:color="000000" w:sz="4"/>
                  </w:tcBorders>
                  <w:vAlign w:val="top"/>
                </w:tcPr>
                <w:p>
                  <w:pPr>
                    <w:jc w:val="center"/>
                  </w:pPr>
                  <w:r>
                    <w:rPr>
                      <w:sz w:val="24"/>
                    </w:rPr>
                    <w:t>65万元/年,2年，每年一签</w:t>
                  </w:r>
                </w:p>
              </w:tc>
            </w:tr>
          </w:tbl>
          <w:p>
            <w:pPr>
              <w:ind w:firstLine="482"/>
              <w:jc w:val="both"/>
            </w:pPr>
            <w:r>
              <w:rPr>
                <w:b/>
                <w:sz w:val="24"/>
              </w:rPr>
              <w:t>（注：服务供应商必须对本项目整体内容进行投标，只对本项目部分内容进行投标的将视为无效投标。）</w:t>
            </w:r>
          </w:p>
          <w:p>
            <w:pPr>
              <w:jc w:val="center"/>
            </w:pPr>
            <w:r>
              <w:rPr>
                <w:b/>
                <w:sz w:val="24"/>
              </w:rPr>
              <w:t>表2服务资助经费一览表</w:t>
            </w:r>
          </w:p>
          <w:tbl>
            <w:tblPr>
              <w:tblBorders>
                <w:top w:val="none" w:color="000000" w:sz="4"/>
                <w:left w:val="none" w:color="000000" w:sz="4"/>
                <w:bottom w:val="none" w:color="000000" w:sz="4"/>
                <w:right w:val="none" w:color="000000" w:sz="4"/>
                <w:insideH w:val="none"/>
                <w:insideV w:val="none"/>
              </w:tblBorders>
            </w:tblPr>
            <w:tblGrid>
              <w:gridCol w:w="2084"/>
              <w:gridCol w:w="1988"/>
              <w:gridCol w:w="1515"/>
            </w:tblGrid>
            <w:tr>
              <w:tc>
                <w:tcPr>
                  <w:tcW w:type="dxa" w:w="2084"/>
                  <w:tcBorders>
                    <w:top w:val="single" w:color="000000" w:sz="4"/>
                    <w:left w:val="single" w:color="000000" w:sz="4"/>
                    <w:bottom w:val="single" w:color="000000" w:sz="4"/>
                    <w:right w:val="single" w:color="000000" w:sz="4"/>
                  </w:tcBorders>
                  <w:vAlign w:val="top"/>
                </w:tcPr>
                <w:p>
                  <w:pPr>
                    <w:jc w:val="center"/>
                  </w:pPr>
                  <w:r>
                    <w:rPr>
                      <w:b/>
                      <w:sz w:val="24"/>
                    </w:rPr>
                    <w:t>资助对象类型</w:t>
                  </w:r>
                </w:p>
              </w:tc>
              <w:tc>
                <w:tcPr>
                  <w:tcW w:type="dxa" w:w="1988"/>
                  <w:tcBorders>
                    <w:top w:val="single" w:color="000000" w:sz="4"/>
                    <w:left w:val="single" w:color="000000" w:sz="4"/>
                    <w:bottom w:val="single" w:color="000000" w:sz="4"/>
                    <w:right w:val="single" w:color="000000" w:sz="4"/>
                  </w:tcBorders>
                  <w:vAlign w:val="top"/>
                </w:tcPr>
                <w:p>
                  <w:pPr>
                    <w:jc w:val="center"/>
                  </w:pPr>
                  <w:r>
                    <w:rPr>
                      <w:b/>
                      <w:sz w:val="24"/>
                    </w:rPr>
                    <w:t>服务人数（人）</w:t>
                  </w:r>
                </w:p>
              </w:tc>
              <w:tc>
                <w:tcPr>
                  <w:tcW w:type="dxa" w:w="1515"/>
                  <w:tcBorders>
                    <w:top w:val="single" w:color="000000" w:sz="4"/>
                    <w:left w:val="single" w:color="000000" w:sz="4"/>
                    <w:bottom w:val="single" w:color="000000" w:sz="4"/>
                    <w:right w:val="single" w:color="000000" w:sz="4"/>
                  </w:tcBorders>
                  <w:vAlign w:val="top"/>
                </w:tcPr>
                <w:p>
                  <w:pPr>
                    <w:jc w:val="center"/>
                  </w:pPr>
                  <w:r>
                    <w:rPr>
                      <w:b/>
                      <w:sz w:val="24"/>
                    </w:rPr>
                    <w:t>资助金额（人/元/月)</w:t>
                  </w:r>
                </w:p>
              </w:tc>
            </w:tr>
            <w:tr>
              <w:tc>
                <w:tcPr>
                  <w:tcW w:type="dxa" w:w="2084"/>
                  <w:tcBorders>
                    <w:top w:val="none" w:color="000000" w:sz="4"/>
                    <w:left w:val="single" w:color="000000" w:sz="4"/>
                    <w:bottom w:val="single" w:color="000000" w:sz="4"/>
                    <w:right w:val="single" w:color="000000" w:sz="4"/>
                  </w:tcBorders>
                  <w:vAlign w:val="top"/>
                </w:tcPr>
                <w:p>
                  <w:pPr>
                    <w:jc w:val="center"/>
                  </w:pPr>
                  <w:r>
                    <w:rPr>
                      <w:sz w:val="24"/>
                    </w:rPr>
                    <w:t>A类</w:t>
                  </w:r>
                </w:p>
              </w:tc>
              <w:tc>
                <w:tcPr>
                  <w:tcW w:type="dxa" w:w="1988"/>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515"/>
                  <w:tcBorders>
                    <w:top w:val="none" w:color="000000" w:sz="4"/>
                    <w:left w:val="single" w:color="000000" w:sz="4"/>
                    <w:bottom w:val="single" w:color="000000" w:sz="4"/>
                    <w:right w:val="single" w:color="000000" w:sz="4"/>
                  </w:tcBorders>
                  <w:vAlign w:val="top"/>
                </w:tcPr>
                <w:p>
                  <w:pPr>
                    <w:jc w:val="center"/>
                  </w:pPr>
                  <w:r>
                    <w:rPr>
                      <w:sz w:val="24"/>
                    </w:rPr>
                    <w:t>600</w:t>
                  </w:r>
                </w:p>
              </w:tc>
            </w:tr>
            <w:tr>
              <w:tc>
                <w:tcPr>
                  <w:tcW w:type="dxa" w:w="2084"/>
                  <w:tcBorders>
                    <w:top w:val="none" w:color="000000" w:sz="4"/>
                    <w:left w:val="single" w:color="000000" w:sz="4"/>
                    <w:bottom w:val="single" w:color="000000" w:sz="4"/>
                    <w:right w:val="single" w:color="000000" w:sz="4"/>
                  </w:tcBorders>
                  <w:vAlign w:val="top"/>
                </w:tcPr>
                <w:p>
                  <w:pPr>
                    <w:jc w:val="center"/>
                  </w:pPr>
                  <w:r>
                    <w:rPr>
                      <w:sz w:val="24"/>
                    </w:rPr>
                    <w:t>B类</w:t>
                  </w:r>
                </w:p>
              </w:tc>
              <w:tc>
                <w:tcPr>
                  <w:tcW w:type="dxa" w:w="1988"/>
                  <w:tcBorders>
                    <w:top w:val="none" w:color="000000" w:sz="4"/>
                    <w:left w:val="single" w:color="000000" w:sz="4"/>
                    <w:bottom w:val="single" w:color="000000" w:sz="4"/>
                    <w:right w:val="single" w:color="000000" w:sz="4"/>
                  </w:tcBorders>
                  <w:vAlign w:val="top"/>
                </w:tcPr>
                <w:p>
                  <w:pPr>
                    <w:jc w:val="center"/>
                  </w:pPr>
                  <w:r>
                    <w:rPr>
                      <w:sz w:val="24"/>
                    </w:rPr>
                    <w:t>0</w:t>
                  </w:r>
                </w:p>
              </w:tc>
              <w:tc>
                <w:tcPr>
                  <w:tcW w:type="dxa" w:w="1515"/>
                  <w:tcBorders>
                    <w:top w:val="none" w:color="000000" w:sz="4"/>
                    <w:left w:val="single" w:color="000000" w:sz="4"/>
                    <w:bottom w:val="single" w:color="000000" w:sz="4"/>
                    <w:right w:val="single" w:color="000000" w:sz="4"/>
                  </w:tcBorders>
                  <w:vAlign w:val="top"/>
                </w:tcPr>
                <w:p>
                  <w:pPr>
                    <w:jc w:val="center"/>
                  </w:pPr>
                  <w:r>
                    <w:rPr>
                      <w:sz w:val="24"/>
                    </w:rPr>
                    <w:t>400</w:t>
                  </w:r>
                </w:p>
              </w:tc>
            </w:tr>
            <w:tr>
              <w:tc>
                <w:tcPr>
                  <w:tcW w:type="dxa" w:w="2084"/>
                  <w:tcBorders>
                    <w:top w:val="none" w:color="000000" w:sz="4"/>
                    <w:left w:val="single" w:color="000000" w:sz="4"/>
                    <w:bottom w:val="single" w:color="000000" w:sz="4"/>
                    <w:right w:val="single" w:color="000000" w:sz="4"/>
                  </w:tcBorders>
                  <w:vAlign w:val="top"/>
                </w:tcPr>
                <w:p>
                  <w:pPr>
                    <w:jc w:val="center"/>
                  </w:pPr>
                  <w:r>
                    <w:rPr>
                      <w:sz w:val="24"/>
                    </w:rPr>
                    <w:t>C类</w:t>
                  </w:r>
                </w:p>
              </w:tc>
              <w:tc>
                <w:tcPr>
                  <w:tcW w:type="dxa" w:w="1988"/>
                  <w:tcBorders>
                    <w:top w:val="none" w:color="000000" w:sz="4"/>
                    <w:left w:val="single" w:color="000000" w:sz="4"/>
                    <w:bottom w:val="single" w:color="000000" w:sz="4"/>
                    <w:right w:val="single" w:color="000000" w:sz="4"/>
                  </w:tcBorders>
                  <w:vAlign w:val="top"/>
                </w:tcPr>
                <w:p>
                  <w:pPr>
                    <w:jc w:val="center"/>
                  </w:pPr>
                  <w:r>
                    <w:rPr>
                      <w:sz w:val="24"/>
                    </w:rPr>
                    <w:t>0</w:t>
                  </w:r>
                </w:p>
              </w:tc>
              <w:tc>
                <w:tcPr>
                  <w:tcW w:type="dxa" w:w="1515"/>
                  <w:tcBorders>
                    <w:top w:val="none" w:color="000000" w:sz="4"/>
                    <w:left w:val="single" w:color="000000" w:sz="4"/>
                    <w:bottom w:val="single" w:color="000000" w:sz="4"/>
                    <w:right w:val="single" w:color="000000" w:sz="4"/>
                  </w:tcBorders>
                  <w:vAlign w:val="top"/>
                </w:tcPr>
                <w:p>
                  <w:pPr>
                    <w:jc w:val="center"/>
                  </w:pPr>
                  <w:r>
                    <w:rPr>
                      <w:sz w:val="24"/>
                    </w:rPr>
                    <w:t>200</w:t>
                  </w:r>
                </w:p>
              </w:tc>
            </w:tr>
          </w:tbl>
          <w:p>
            <w:pPr>
              <w:ind w:firstLine="482"/>
              <w:jc w:val="both"/>
            </w:pPr>
            <w:r>
              <w:rPr>
                <w:b/>
                <w:sz w:val="24"/>
              </w:rPr>
              <w:t>(注:1.服务资助对象类型均对应《广州市社区居家养老服务管理办法》第二十六条的资助对象类型，其中A类型对象对应第一类资助对象中重度失能的，B类资助对象应第一类资助对象中非重度失能的，C类资助对象对应第二类资助对象；2.服务资助经费根据实际服务情况进行结算。）</w:t>
            </w:r>
          </w:p>
          <w:p>
            <w:pPr>
              <w:jc w:val="center"/>
            </w:pPr>
            <w:r>
              <w:rPr>
                <w:b/>
                <w:sz w:val="24"/>
              </w:rPr>
              <w:t>表3服务项目补助经费一览表</w:t>
            </w:r>
          </w:p>
          <w:p>
            <w:pPr>
              <w:ind w:firstLine="4800"/>
              <w:jc w:val="both"/>
            </w:pPr>
            <w:r>
              <w:rPr>
                <w:sz w:val="24"/>
              </w:rPr>
              <w:t>单位：元/次</w:t>
            </w:r>
          </w:p>
          <w:tbl>
            <w:tblPr>
              <w:tblBorders>
                <w:top w:val="none" w:color="000000" w:sz="4"/>
                <w:left w:val="none" w:color="000000" w:sz="4"/>
                <w:bottom w:val="none" w:color="000000" w:sz="4"/>
                <w:right w:val="none" w:color="000000" w:sz="4"/>
                <w:insideH w:val="none"/>
                <w:insideV w:val="none"/>
              </w:tblBorders>
            </w:tblPr>
            <w:tblGrid>
              <w:gridCol w:w="3098"/>
              <w:gridCol w:w="839"/>
              <w:gridCol w:w="728"/>
              <w:gridCol w:w="903"/>
            </w:tblGrid>
            <w:tr>
              <w:tc>
                <w:tcPr>
                  <w:tcW w:type="dxa" w:w="3098"/>
                  <w:tcBorders>
                    <w:top w:val="single" w:color="000000" w:sz="4"/>
                    <w:left w:val="single" w:color="000000" w:sz="4"/>
                    <w:bottom w:val="single" w:color="000000" w:sz="4"/>
                    <w:right w:val="single" w:color="000000" w:sz="4"/>
                  </w:tcBorders>
                  <w:vAlign w:val="top"/>
                </w:tcPr>
                <w:p>
                  <w:pPr>
                    <w:jc w:val="both"/>
                  </w:pPr>
                  <w:r>
                    <w:rPr>
                      <w:sz w:val="24"/>
                    </w:rPr>
                    <w:t>补助项目</w:t>
                  </w:r>
                </w:p>
                <w:p>
                  <w:pPr>
                    <w:ind w:firstLine="720"/>
                    <w:jc w:val="center"/>
                  </w:pPr>
                  <w:r>
                    <w:rPr>
                      <w:sz w:val="24"/>
                    </w:rPr>
                    <w:t xml:space="preserve">                         服务等级</w:t>
                  </w:r>
                </w:p>
              </w:tc>
              <w:tc>
                <w:tcPr>
                  <w:tcW w:type="dxa" w:w="839"/>
                  <w:tcBorders>
                    <w:top w:val="single" w:color="000000" w:sz="4"/>
                    <w:left w:val="single" w:color="000000" w:sz="4"/>
                    <w:bottom w:val="single" w:color="000000" w:sz="4"/>
                    <w:right w:val="single" w:color="000000" w:sz="4"/>
                  </w:tcBorders>
                  <w:vAlign w:val="top"/>
                </w:tcPr>
                <w:p>
                  <w:pPr>
                    <w:jc w:val="center"/>
                  </w:pPr>
                  <w:r>
                    <w:rPr>
                      <w:sz w:val="24"/>
                    </w:rPr>
                    <w:t>优秀</w:t>
                  </w:r>
                </w:p>
              </w:tc>
              <w:tc>
                <w:tcPr>
                  <w:tcW w:type="dxa" w:w="728"/>
                  <w:tcBorders>
                    <w:top w:val="single" w:color="000000" w:sz="4"/>
                    <w:left w:val="single" w:color="000000" w:sz="4"/>
                    <w:bottom w:val="single" w:color="000000" w:sz="4"/>
                    <w:right w:val="single" w:color="000000" w:sz="4"/>
                  </w:tcBorders>
                  <w:vAlign w:val="top"/>
                </w:tcPr>
                <w:p>
                  <w:pPr>
                    <w:jc w:val="center"/>
                  </w:pPr>
                  <w:r>
                    <w:rPr>
                      <w:sz w:val="24"/>
                    </w:rPr>
                    <w:t>良好</w:t>
                  </w:r>
                </w:p>
              </w:tc>
              <w:tc>
                <w:tcPr>
                  <w:tcW w:type="dxa" w:w="903"/>
                  <w:tcBorders>
                    <w:top w:val="single" w:color="000000" w:sz="4"/>
                    <w:left w:val="single" w:color="000000" w:sz="4"/>
                    <w:bottom w:val="single" w:color="000000" w:sz="4"/>
                    <w:right w:val="single" w:color="000000" w:sz="4"/>
                  </w:tcBorders>
                  <w:vAlign w:val="top"/>
                </w:tcPr>
                <w:p>
                  <w:pPr>
                    <w:jc w:val="center"/>
                  </w:pPr>
                  <w:r>
                    <w:rPr>
                      <w:sz w:val="24"/>
                    </w:rPr>
                    <w:t>合格</w:t>
                  </w:r>
                </w:p>
              </w:tc>
            </w:tr>
            <w:tr>
              <w:tc>
                <w:tcPr>
                  <w:tcW w:type="dxa" w:w="3098"/>
                  <w:tcBorders>
                    <w:top w:val="none" w:color="000000" w:sz="4"/>
                    <w:left w:val="single" w:color="000000" w:sz="4"/>
                    <w:bottom w:val="single" w:color="000000" w:sz="4"/>
                    <w:right w:val="single" w:color="000000" w:sz="4"/>
                  </w:tcBorders>
                  <w:vAlign w:val="top"/>
                </w:tcPr>
                <w:p>
                  <w:pPr>
                    <w:jc w:val="both"/>
                  </w:pPr>
                  <w:r>
                    <w:rPr>
                      <w:sz w:val="24"/>
                    </w:rPr>
                    <w:t>日间托管(每次不少于1小时,半天计次不超过1次,全天不超过2次)</w:t>
                  </w:r>
                </w:p>
              </w:tc>
              <w:tc>
                <w:tcPr>
                  <w:tcW w:type="dxa" w:w="839"/>
                  <w:tcBorders>
                    <w:top w:val="none" w:color="000000" w:sz="4"/>
                    <w:left w:val="single" w:color="000000" w:sz="4"/>
                    <w:bottom w:val="single" w:color="000000" w:sz="4"/>
                    <w:right w:val="single" w:color="000000" w:sz="4"/>
                  </w:tcBorders>
                  <w:vAlign w:val="top"/>
                </w:tcPr>
                <w:p>
                  <w:pPr>
                    <w:jc w:val="center"/>
                  </w:pPr>
                  <w:r>
                    <w:rPr>
                      <w:sz w:val="24"/>
                    </w:rPr>
                    <w:t>4元</w:t>
                  </w:r>
                </w:p>
              </w:tc>
              <w:tc>
                <w:tcPr>
                  <w:tcW w:type="dxa" w:w="728"/>
                  <w:tcBorders>
                    <w:top w:val="none" w:color="000000" w:sz="4"/>
                    <w:left w:val="single" w:color="000000" w:sz="4"/>
                    <w:bottom w:val="single" w:color="000000" w:sz="4"/>
                    <w:right w:val="single" w:color="000000" w:sz="4"/>
                  </w:tcBorders>
                  <w:vAlign w:val="top"/>
                </w:tcPr>
                <w:p>
                  <w:pPr>
                    <w:jc w:val="center"/>
                  </w:pPr>
                  <w:r>
                    <w:rPr>
                      <w:sz w:val="24"/>
                    </w:rPr>
                    <w:t>3元</w:t>
                  </w:r>
                </w:p>
              </w:tc>
              <w:tc>
                <w:tcPr>
                  <w:tcW w:type="dxa" w:w="903"/>
                  <w:tcBorders>
                    <w:top w:val="none" w:color="000000" w:sz="4"/>
                    <w:left w:val="single" w:color="000000" w:sz="4"/>
                    <w:bottom w:val="single" w:color="000000" w:sz="4"/>
                    <w:right w:val="single" w:color="000000" w:sz="4"/>
                  </w:tcBorders>
                  <w:vAlign w:val="top"/>
                </w:tcPr>
                <w:p>
                  <w:pPr>
                    <w:jc w:val="center"/>
                  </w:pPr>
                  <w:r>
                    <w:rPr>
                      <w:sz w:val="24"/>
                    </w:rPr>
                    <w:t>2元</w:t>
                  </w:r>
                </w:p>
              </w:tc>
            </w:tr>
            <w:tr>
              <w:tc>
                <w:tcPr>
                  <w:tcW w:type="dxa" w:w="3098"/>
                  <w:tcBorders>
                    <w:top w:val="none" w:color="000000" w:sz="4"/>
                    <w:left w:val="single" w:color="000000" w:sz="4"/>
                    <w:bottom w:val="single" w:color="000000" w:sz="4"/>
                    <w:right w:val="single" w:color="000000" w:sz="4"/>
                  </w:tcBorders>
                  <w:vAlign w:val="top"/>
                </w:tcPr>
                <w:p>
                  <w:pPr>
                    <w:jc w:val="both"/>
                  </w:pPr>
                  <w:r>
                    <w:rPr>
                      <w:sz w:val="24"/>
                    </w:rPr>
                    <w:t>康复护理(每次不少于30分钟)</w:t>
                  </w:r>
                </w:p>
              </w:tc>
              <w:tc>
                <w:tcPr>
                  <w:tcW w:type="dxa" w:w="839"/>
                  <w:tcBorders>
                    <w:top w:val="none" w:color="000000" w:sz="4"/>
                    <w:left w:val="single" w:color="000000" w:sz="4"/>
                    <w:bottom w:val="single" w:color="000000" w:sz="4"/>
                    <w:right w:val="single" w:color="000000" w:sz="4"/>
                  </w:tcBorders>
                  <w:vAlign w:val="top"/>
                </w:tcPr>
                <w:p>
                  <w:pPr>
                    <w:jc w:val="center"/>
                  </w:pPr>
                  <w:r>
                    <w:rPr>
                      <w:sz w:val="24"/>
                    </w:rPr>
                    <w:t>4元</w:t>
                  </w:r>
                </w:p>
              </w:tc>
              <w:tc>
                <w:tcPr>
                  <w:tcW w:type="dxa" w:w="728"/>
                  <w:tcBorders>
                    <w:top w:val="none" w:color="000000" w:sz="4"/>
                    <w:left w:val="single" w:color="000000" w:sz="4"/>
                    <w:bottom w:val="single" w:color="000000" w:sz="4"/>
                    <w:right w:val="single" w:color="000000" w:sz="4"/>
                  </w:tcBorders>
                  <w:vAlign w:val="top"/>
                </w:tcPr>
                <w:p>
                  <w:pPr>
                    <w:jc w:val="center"/>
                  </w:pPr>
                  <w:r>
                    <w:rPr>
                      <w:sz w:val="24"/>
                    </w:rPr>
                    <w:t>3元</w:t>
                  </w:r>
                </w:p>
              </w:tc>
              <w:tc>
                <w:tcPr>
                  <w:tcW w:type="dxa" w:w="903"/>
                  <w:tcBorders>
                    <w:top w:val="none" w:color="000000" w:sz="4"/>
                    <w:left w:val="single" w:color="000000" w:sz="4"/>
                    <w:bottom w:val="single" w:color="000000" w:sz="4"/>
                    <w:right w:val="single" w:color="000000" w:sz="4"/>
                  </w:tcBorders>
                  <w:vAlign w:val="top"/>
                </w:tcPr>
                <w:p>
                  <w:pPr>
                    <w:jc w:val="center"/>
                  </w:pPr>
                  <w:r>
                    <w:rPr>
                      <w:sz w:val="24"/>
                    </w:rPr>
                    <w:t>2元</w:t>
                  </w:r>
                </w:p>
              </w:tc>
            </w:tr>
            <w:tr>
              <w:tc>
                <w:tcPr>
                  <w:tcW w:type="dxa" w:w="3098"/>
                  <w:tcBorders>
                    <w:top w:val="none" w:color="000000" w:sz="4"/>
                    <w:left w:val="single" w:color="000000" w:sz="4"/>
                    <w:bottom w:val="single" w:color="000000" w:sz="4"/>
                    <w:right w:val="single" w:color="000000" w:sz="4"/>
                  </w:tcBorders>
                  <w:vAlign w:val="top"/>
                </w:tcPr>
                <w:p>
                  <w:pPr>
                    <w:jc w:val="both"/>
                  </w:pPr>
                  <w:r>
                    <w:rPr>
                      <w:sz w:val="24"/>
                    </w:rPr>
                    <w:t>上门生活照料(每次不少于1小时)</w:t>
                  </w:r>
                </w:p>
              </w:tc>
              <w:tc>
                <w:tcPr>
                  <w:tcW w:type="dxa" w:w="839"/>
                  <w:tcBorders>
                    <w:top w:val="none" w:color="000000" w:sz="4"/>
                    <w:left w:val="single" w:color="000000" w:sz="4"/>
                    <w:bottom w:val="single" w:color="000000" w:sz="4"/>
                    <w:right w:val="single" w:color="000000" w:sz="4"/>
                  </w:tcBorders>
                  <w:vAlign w:val="top"/>
                </w:tcPr>
                <w:p>
                  <w:pPr>
                    <w:jc w:val="center"/>
                  </w:pPr>
                  <w:r>
                    <w:rPr>
                      <w:sz w:val="24"/>
                    </w:rPr>
                    <w:t>4元</w:t>
                  </w:r>
                </w:p>
              </w:tc>
              <w:tc>
                <w:tcPr>
                  <w:tcW w:type="dxa" w:w="728"/>
                  <w:tcBorders>
                    <w:top w:val="none" w:color="000000" w:sz="4"/>
                    <w:left w:val="single" w:color="000000" w:sz="4"/>
                    <w:bottom w:val="single" w:color="000000" w:sz="4"/>
                    <w:right w:val="single" w:color="000000" w:sz="4"/>
                  </w:tcBorders>
                  <w:vAlign w:val="top"/>
                </w:tcPr>
                <w:p>
                  <w:pPr>
                    <w:jc w:val="center"/>
                  </w:pPr>
                  <w:r>
                    <w:rPr>
                      <w:sz w:val="24"/>
                    </w:rPr>
                    <w:t>3元</w:t>
                  </w:r>
                </w:p>
              </w:tc>
              <w:tc>
                <w:tcPr>
                  <w:tcW w:type="dxa" w:w="903"/>
                  <w:tcBorders>
                    <w:top w:val="none" w:color="000000" w:sz="4"/>
                    <w:left w:val="single" w:color="000000" w:sz="4"/>
                    <w:bottom w:val="single" w:color="000000" w:sz="4"/>
                    <w:right w:val="single" w:color="000000" w:sz="4"/>
                  </w:tcBorders>
                  <w:vAlign w:val="top"/>
                </w:tcPr>
                <w:p>
                  <w:pPr>
                    <w:jc w:val="center"/>
                  </w:pPr>
                  <w:r>
                    <w:rPr>
                      <w:sz w:val="24"/>
                    </w:rPr>
                    <w:t>2元</w:t>
                  </w:r>
                </w:p>
              </w:tc>
            </w:tr>
            <w:tr>
              <w:tc>
                <w:tcPr>
                  <w:tcW w:type="dxa" w:w="3098"/>
                  <w:tcBorders>
                    <w:top w:val="none" w:color="000000" w:sz="4"/>
                    <w:left w:val="single" w:color="000000" w:sz="4"/>
                    <w:bottom w:val="single" w:color="000000" w:sz="4"/>
                    <w:right w:val="single" w:color="000000" w:sz="4"/>
                  </w:tcBorders>
                  <w:vAlign w:val="top"/>
                </w:tcPr>
                <w:p>
                  <w:pPr>
                    <w:jc w:val="both"/>
                  </w:pPr>
                  <w:r>
                    <w:rPr>
                      <w:sz w:val="24"/>
                    </w:rPr>
                    <w:t>上门医疗</w:t>
                  </w:r>
                </w:p>
              </w:tc>
              <w:tc>
                <w:tcPr>
                  <w:tcW w:type="dxa" w:w="839"/>
                  <w:tcBorders>
                    <w:top w:val="none" w:color="000000" w:sz="4"/>
                    <w:left w:val="single" w:color="000000" w:sz="4"/>
                    <w:bottom w:val="single" w:color="000000" w:sz="4"/>
                    <w:right w:val="single" w:color="000000" w:sz="4"/>
                  </w:tcBorders>
                  <w:vAlign w:val="top"/>
                </w:tcPr>
                <w:p>
                  <w:pPr>
                    <w:jc w:val="center"/>
                  </w:pPr>
                  <w:r>
                    <w:rPr>
                      <w:sz w:val="24"/>
                    </w:rPr>
                    <w:t>4元</w:t>
                  </w:r>
                </w:p>
              </w:tc>
              <w:tc>
                <w:tcPr>
                  <w:tcW w:type="dxa" w:w="728"/>
                  <w:tcBorders>
                    <w:top w:val="none" w:color="000000" w:sz="4"/>
                    <w:left w:val="single" w:color="000000" w:sz="4"/>
                    <w:bottom w:val="single" w:color="000000" w:sz="4"/>
                    <w:right w:val="single" w:color="000000" w:sz="4"/>
                  </w:tcBorders>
                  <w:vAlign w:val="top"/>
                </w:tcPr>
                <w:p>
                  <w:pPr>
                    <w:jc w:val="center"/>
                  </w:pPr>
                  <w:r>
                    <w:rPr>
                      <w:sz w:val="24"/>
                    </w:rPr>
                    <w:t>3元</w:t>
                  </w:r>
                </w:p>
              </w:tc>
              <w:tc>
                <w:tcPr>
                  <w:tcW w:type="dxa" w:w="903"/>
                  <w:tcBorders>
                    <w:top w:val="none" w:color="000000" w:sz="4"/>
                    <w:left w:val="single" w:color="000000" w:sz="4"/>
                    <w:bottom w:val="single" w:color="000000" w:sz="4"/>
                    <w:right w:val="single" w:color="000000" w:sz="4"/>
                  </w:tcBorders>
                  <w:vAlign w:val="top"/>
                </w:tcPr>
                <w:p>
                  <w:pPr>
                    <w:jc w:val="center"/>
                  </w:pPr>
                  <w:r>
                    <w:rPr>
                      <w:sz w:val="24"/>
                    </w:rPr>
                    <w:t>2元</w:t>
                  </w:r>
                </w:p>
              </w:tc>
            </w:tr>
          </w:tbl>
          <w:p>
            <w:pPr>
              <w:ind w:firstLine="482"/>
              <w:jc w:val="both"/>
            </w:pPr>
            <w:r>
              <w:rPr>
                <w:b/>
                <w:sz w:val="24"/>
              </w:rPr>
              <w:t>(注：服务项目补助经费是根据项目评估报告的等级和服务人次数量进行结算，按照区民政局的项目评估的要求，在合同服务期内分为中期评估和末期评估。若该项补助有调整，依照上级的部署和文件精神执行。）</w:t>
            </w:r>
          </w:p>
          <w:p>
            <w:pPr>
              <w:ind w:firstLine="482"/>
              <w:jc w:val="center"/>
            </w:pPr>
          </w:p>
          <w:p>
            <w:pPr>
              <w:ind w:firstLine="482"/>
              <w:jc w:val="center"/>
            </w:pPr>
            <w:r>
              <w:rPr>
                <w:b/>
                <w:sz w:val="24"/>
              </w:rPr>
              <w:t>表4助餐配餐服务（长者饭堂运营）项目资助经费一览表</w:t>
            </w:r>
          </w:p>
          <w:tbl>
            <w:tblPr>
              <w:tblInd w:type="dxa" w:w="120"/>
              <w:tblBorders>
                <w:top w:val="none" w:color="000000" w:sz="4"/>
                <w:left w:val="none" w:color="000000" w:sz="4"/>
                <w:bottom w:val="none" w:color="000000" w:sz="4"/>
                <w:right w:val="none" w:color="000000" w:sz="4"/>
                <w:insideH w:val="none"/>
                <w:insideV w:val="none"/>
              </w:tblBorders>
            </w:tblPr>
            <w:tblGrid>
              <w:gridCol w:w="878"/>
              <w:gridCol w:w="569"/>
              <w:gridCol w:w="1003"/>
              <w:gridCol w:w="598"/>
              <w:gridCol w:w="1785"/>
              <w:gridCol w:w="743"/>
            </w:tblGrid>
            <w:tr>
              <w:tc>
                <w:tcPr>
                  <w:tcW w:type="dxa" w:w="878"/>
                  <w:vMerge w:val="restart"/>
                  <w:tcBorders>
                    <w:top w:val="single" w:color="000000" w:sz="4"/>
                    <w:left w:val="single" w:color="000000" w:sz="4"/>
                    <w:bottom w:val="single" w:color="000000" w:sz="4"/>
                    <w:right w:val="single" w:color="000000" w:sz="4"/>
                  </w:tcBorders>
                  <w:vAlign w:val="top"/>
                </w:tcPr>
                <w:p>
                  <w:pPr>
                    <w:jc w:val="center"/>
                  </w:pPr>
                  <w:r>
                    <w:rPr>
                      <w:b/>
                      <w:sz w:val="24"/>
                    </w:rPr>
                    <w:t>资助类型</w:t>
                  </w:r>
                </w:p>
              </w:tc>
              <w:tc>
                <w:tcPr>
                  <w:tcW w:type="dxa" w:w="569"/>
                  <w:vMerge w:val="restart"/>
                  <w:tcBorders>
                    <w:top w:val="single" w:color="000000" w:sz="4"/>
                    <w:left w:val="single" w:color="000000" w:sz="4"/>
                    <w:bottom w:val="single" w:color="000000" w:sz="4"/>
                    <w:right w:val="single" w:color="000000" w:sz="4"/>
                  </w:tcBorders>
                  <w:vAlign w:val="top"/>
                </w:tcPr>
                <w:p>
                  <w:pPr>
                    <w:jc w:val="both"/>
                  </w:pPr>
                  <w:r>
                    <w:rPr>
                      <w:b/>
                      <w:sz w:val="24"/>
                    </w:rPr>
                    <w:t>就餐补助（元/人次)</w:t>
                  </w:r>
                </w:p>
              </w:tc>
              <w:tc>
                <w:tcPr>
                  <w:tcW w:type="dxa" w:w="1601"/>
                  <w:gridSpan w:val="2"/>
                  <w:tcBorders>
                    <w:top w:val="single" w:color="000000" w:sz="4"/>
                    <w:left w:val="single" w:color="000000" w:sz="4"/>
                    <w:bottom w:val="single" w:color="000000" w:sz="4"/>
                    <w:right w:val="single" w:color="000000" w:sz="4"/>
                  </w:tcBorders>
                  <w:vAlign w:val="top"/>
                </w:tcPr>
                <w:p>
                  <w:pPr>
                    <w:jc w:val="both"/>
                  </w:pPr>
                  <w:r>
                    <w:rPr>
                      <w:b/>
                      <w:sz w:val="24"/>
                    </w:rPr>
                    <w:t>送餐上门补助（元/人次)</w:t>
                  </w:r>
                </w:p>
              </w:tc>
              <w:tc>
                <w:tcPr>
                  <w:tcW w:type="dxa" w:w="1785"/>
                  <w:vMerge w:val="restart"/>
                  <w:tcBorders>
                    <w:top w:val="single" w:color="000000" w:sz="4"/>
                    <w:left w:val="single" w:color="000000" w:sz="4"/>
                    <w:bottom w:val="single" w:color="000000" w:sz="4"/>
                    <w:right w:val="single" w:color="000000" w:sz="4"/>
                  </w:tcBorders>
                  <w:vAlign w:val="top"/>
                </w:tcPr>
                <w:p>
                  <w:pPr>
                    <w:jc w:val="center"/>
                  </w:pPr>
                  <w:r>
                    <w:rPr>
                      <w:b/>
                      <w:sz w:val="24"/>
                    </w:rPr>
                    <w:t>运营补助（元/人次)</w:t>
                  </w:r>
                </w:p>
              </w:tc>
              <w:tc>
                <w:tcPr>
                  <w:tcW w:type="dxa" w:w="743"/>
                  <w:vMerge w:val="restart"/>
                  <w:tcBorders>
                    <w:top w:val="single" w:color="000000" w:sz="4"/>
                    <w:left w:val="single" w:color="000000" w:sz="4"/>
                    <w:bottom w:val="single" w:color="000000" w:sz="4"/>
                    <w:right w:val="single" w:color="000000" w:sz="4"/>
                  </w:tcBorders>
                  <w:vAlign w:val="top"/>
                </w:tcPr>
                <w:p>
                  <w:pPr>
                    <w:jc w:val="center"/>
                  </w:pPr>
                  <w:r>
                    <w:rPr>
                      <w:b/>
                      <w:sz w:val="24"/>
                    </w:rPr>
                    <w:t>临时价格补助（元/人次)</w:t>
                  </w:r>
                </w:p>
              </w:tc>
            </w:tr>
            <w:tr>
              <w:tc>
                <w:tcPr>
                  <w:tcW w:type="dxa" w:w="878"/>
                  <w:vMerge/>
                  <w:tcBorders>
                    <w:top w:val="single" w:color="000000" w:sz="4"/>
                    <w:left w:val="single" w:color="000000" w:sz="4"/>
                    <w:bottom w:val="single" w:color="000000" w:sz="4"/>
                    <w:right w:val="single" w:color="000000" w:sz="4"/>
                  </w:tcBorders>
                </w:tcPr>
                <w:p/>
              </w:tc>
              <w:tc>
                <w:tcPr>
                  <w:tcW w:type="dxa" w:w="569"/>
                  <w:vMerge/>
                  <w:tcBorders>
                    <w:top w:val="singl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vAlign w:val="top"/>
                </w:tcPr>
                <w:p>
                  <w:pPr>
                    <w:jc w:val="center"/>
                  </w:pPr>
                  <w:r>
                    <w:rPr>
                      <w:sz w:val="24"/>
                    </w:rPr>
                    <w:t>评定1-2级</w:t>
                  </w:r>
                </w:p>
              </w:tc>
              <w:tc>
                <w:tcPr>
                  <w:tcW w:type="dxa" w:w="598"/>
                  <w:tcBorders>
                    <w:top w:val="none" w:color="000000" w:sz="4"/>
                    <w:left w:val="single" w:color="000000" w:sz="4"/>
                    <w:bottom w:val="single" w:color="000000" w:sz="4"/>
                    <w:right w:val="single" w:color="000000" w:sz="4"/>
                  </w:tcBorders>
                  <w:vAlign w:val="top"/>
                </w:tcPr>
                <w:p>
                  <w:pPr>
                    <w:jc w:val="center"/>
                  </w:pPr>
                  <w:r>
                    <w:rPr>
                      <w:sz w:val="24"/>
                    </w:rPr>
                    <w:t>评定3-5级</w:t>
                  </w:r>
                </w:p>
              </w:tc>
            </w:tr>
            <w:tr>
              <w:tc>
                <w:tcPr>
                  <w:tcW w:type="dxa" w:w="878"/>
                  <w:tcBorders>
                    <w:top w:val="none" w:color="000000" w:sz="4"/>
                    <w:left w:val="single" w:color="000000" w:sz="4"/>
                    <w:bottom w:val="single" w:color="000000" w:sz="4"/>
                    <w:right w:val="single" w:color="000000" w:sz="4"/>
                  </w:tcBorders>
                  <w:vAlign w:val="top"/>
                </w:tcPr>
                <w:p>
                  <w:pPr>
                    <w:jc w:val="center"/>
                  </w:pPr>
                  <w:r>
                    <w:rPr>
                      <w:sz w:val="24"/>
                    </w:rPr>
                    <w:t>60周岁以上长者</w:t>
                  </w:r>
                </w:p>
              </w:tc>
              <w:tc>
                <w:tcPr>
                  <w:tcW w:type="dxa" w:w="569"/>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003"/>
                  <w:tcBorders>
                    <w:top w:val="none" w:color="000000" w:sz="4"/>
                    <w:left w:val="single" w:color="000000" w:sz="4"/>
                    <w:bottom w:val="single" w:color="000000" w:sz="4"/>
                    <w:right w:val="single" w:color="000000" w:sz="4"/>
                  </w:tcBorders>
                  <w:vAlign w:val="top"/>
                </w:tcPr>
                <w:p>
                  <w:pPr>
                    <w:jc w:val="center"/>
                  </w:pPr>
                  <w:r>
                    <w:rPr>
                      <w:sz w:val="24"/>
                    </w:rPr>
                    <w:t>2元/人次（市级补助）</w:t>
                  </w:r>
                </w:p>
              </w:tc>
              <w:tc>
                <w:tcPr>
                  <w:tcW w:type="dxa" w:w="598"/>
                  <w:tcBorders>
                    <w:top w:val="none" w:color="000000" w:sz="4"/>
                    <w:left w:val="none" w:color="000000" w:sz="4"/>
                    <w:bottom w:val="single" w:color="000000" w:sz="4"/>
                    <w:right w:val="single" w:color="000000" w:sz="4"/>
                  </w:tcBorders>
                  <w:vAlign w:val="top"/>
                </w:tcPr>
                <w:p>
                  <w:pPr>
                    <w:jc w:val="center"/>
                  </w:pPr>
                  <w:r>
                    <w:rPr>
                      <w:sz w:val="24"/>
                    </w:rPr>
                    <w:t>4元/人次（市级补助）</w:t>
                  </w:r>
                </w:p>
              </w:tc>
              <w:tc>
                <w:tcPr>
                  <w:tcW w:type="dxa" w:w="1785"/>
                  <w:vMerge w:val="restart"/>
                  <w:tcBorders>
                    <w:top w:val="none" w:color="000000" w:sz="4"/>
                    <w:left w:val="none" w:color="000000" w:sz="4"/>
                    <w:bottom w:val="single" w:color="000000" w:sz="4"/>
                    <w:right w:val="single" w:color="000000" w:sz="4"/>
                  </w:tcBorders>
                  <w:vAlign w:val="top"/>
                </w:tcPr>
                <w:p>
                  <w:pPr>
                    <w:ind w:firstLine="480"/>
                    <w:jc w:val="both"/>
                  </w:pPr>
                  <w:r>
                    <w:rPr>
                      <w:sz w:val="24"/>
                    </w:rPr>
                    <w:t>市级运营补助标准《按广州市老年人助餐配餐管理办法》第二十八的规定，以及《</w:t>
                  </w:r>
                  <w:r>
                    <w:rPr>
                      <w:sz w:val="28"/>
                    </w:rPr>
                    <w:t>关于进一步规范南沙区助餐配餐服务工作的通知》的文件</w:t>
                  </w:r>
                  <w:r>
                    <w:rPr>
                      <w:sz w:val="24"/>
                    </w:rPr>
                    <w:t>执行，即：采购自建厨房服务模式运营的每人每次3元，采取其他服务模式运营的每人每次1.5元。</w:t>
                  </w:r>
                  <w:r>
                    <w:rPr>
                      <w:sz w:val="24"/>
                    </w:rPr>
                    <w:t>餐机构在镇街辖内的，提供送餐到长者饭堂的供餐机构享受1元/人次运营补贴。</w:t>
                  </w:r>
                </w:p>
                <w:p>
                  <w:pPr>
                    <w:jc w:val="left"/>
                  </w:pPr>
                </w:p>
                <w:p>
                  <w:pPr>
                    <w:jc w:val="center"/>
                  </w:pPr>
                </w:p>
              </w:tc>
              <w:tc>
                <w:tcPr>
                  <w:tcW w:type="dxa" w:w="743"/>
                  <w:tcBorders>
                    <w:top w:val="none" w:color="000000" w:sz="4"/>
                    <w:left w:val="single" w:color="000000" w:sz="4"/>
                    <w:bottom w:val="single" w:color="000000" w:sz="4"/>
                    <w:right w:val="single" w:color="000000" w:sz="4"/>
                  </w:tcBorders>
                  <w:vAlign w:val="top"/>
                </w:tcPr>
                <w:p>
                  <w:pPr>
                    <w:jc w:val="center"/>
                  </w:pPr>
                  <w:r>
                    <w:rPr>
                      <w:sz w:val="24"/>
                    </w:rPr>
                    <w:t>3</w:t>
                  </w:r>
                </w:p>
              </w:tc>
            </w:tr>
            <w:tr>
              <w:tc>
                <w:tcPr>
                  <w:tcW w:type="dxa" w:w="878"/>
                  <w:tcBorders>
                    <w:top w:val="none" w:color="000000" w:sz="4"/>
                    <w:left w:val="single" w:color="000000" w:sz="4"/>
                    <w:bottom w:val="single" w:color="000000" w:sz="4"/>
                    <w:right w:val="single" w:color="000000" w:sz="4"/>
                  </w:tcBorders>
                  <w:vAlign w:val="top"/>
                </w:tcPr>
                <w:p>
                  <w:pPr>
                    <w:jc w:val="both"/>
                  </w:pPr>
                  <w:r>
                    <w:rPr>
                      <w:sz w:val="24"/>
                    </w:rPr>
                    <w:t>18-59周岁重度残疾人（持有第二代残疾人证且残疾等级为一、二级的残疾人</w:t>
                  </w:r>
                </w:p>
              </w:tc>
              <w:tc>
                <w:tcPr>
                  <w:tcW w:type="dxa" w:w="569"/>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003"/>
                  <w:tcBorders>
                    <w:top w:val="none" w:color="000000" w:sz="4"/>
                    <w:left w:val="single" w:color="000000" w:sz="4"/>
                    <w:bottom w:val="single" w:color="000000" w:sz="4"/>
                    <w:right w:val="single" w:color="000000" w:sz="4"/>
                  </w:tcBorders>
                  <w:vAlign w:val="top"/>
                </w:tcPr>
                <w:p>
                  <w:pPr>
                    <w:jc w:val="center"/>
                  </w:pPr>
                  <w:r>
                    <w:rPr>
                      <w:sz w:val="24"/>
                    </w:rPr>
                    <w:t>2元/人次（市级补助）</w:t>
                  </w:r>
                </w:p>
              </w:tc>
              <w:tc>
                <w:tcPr>
                  <w:tcW w:type="dxa" w:w="598"/>
                  <w:tcBorders>
                    <w:top w:val="none" w:color="000000" w:sz="4"/>
                    <w:left w:val="none" w:color="000000" w:sz="4"/>
                    <w:bottom w:val="single" w:color="000000" w:sz="4"/>
                    <w:right w:val="single" w:color="000000" w:sz="4"/>
                  </w:tcBorders>
                  <w:vAlign w:val="top"/>
                </w:tcPr>
                <w:p>
                  <w:pPr>
                    <w:jc w:val="center"/>
                  </w:pPr>
                  <w:r>
                    <w:rPr>
                      <w:sz w:val="24"/>
                    </w:rPr>
                    <w:t>4元/人次（市级补助）</w:t>
                  </w:r>
                </w:p>
              </w:tc>
              <w:tc>
                <w:tcPr>
                  <w:tcW w:type="dxa" w:w="1785"/>
                  <w:vMerge/>
                  <w:tcBorders>
                    <w:top w:val="none" w:color="000000" w:sz="4"/>
                    <w:left w:val="none" w:color="000000" w:sz="4"/>
                    <w:bottom w:val="single" w:color="000000" w:sz="4"/>
                    <w:right w:val="single" w:color="000000" w:sz="4"/>
                  </w:tcBorders>
                </w:tcPr>
                <w:p/>
              </w:tc>
              <w:tc>
                <w:tcPr>
                  <w:tcW w:type="dxa" w:w="743"/>
                  <w:tcBorders>
                    <w:top w:val="none" w:color="000000" w:sz="4"/>
                    <w:left w:val="single" w:color="000000" w:sz="4"/>
                    <w:bottom w:val="single" w:color="000000" w:sz="4"/>
                    <w:right w:val="single" w:color="000000" w:sz="4"/>
                  </w:tcBorders>
                  <w:vAlign w:val="top"/>
                </w:tcPr>
                <w:p>
                  <w:pPr>
                    <w:jc w:val="center"/>
                  </w:pPr>
                  <w:r>
                    <w:rPr>
                      <w:sz w:val="24"/>
                    </w:rPr>
                    <w:t>3</w:t>
                  </w:r>
                </w:p>
              </w:tc>
            </w:tr>
          </w:tbl>
          <w:p>
            <w:pPr>
              <w:ind w:firstLine="482"/>
              <w:jc w:val="left"/>
            </w:pPr>
            <w:r>
              <w:rPr>
                <w:b/>
                <w:sz w:val="24"/>
              </w:rPr>
              <w:t>(注:助餐配餐服务项目资助经费,根据《广州市社区居家养老服务管理办法》（穗府办规〔2020〕24号）、《广州市老年人助餐配餐服务管理办法》（穗民规字〔2020〕15号）、《南沙区深化老年人助餐配餐服务工作实施方案》、《</w:t>
            </w:r>
            <w:r>
              <w:rPr>
                <w:b/>
                <w:sz w:val="28"/>
              </w:rPr>
              <w:t>关于进一步规范南沙区助餐配餐服务工作的通知》</w:t>
            </w:r>
            <w:r>
              <w:rPr>
                <w:b/>
                <w:sz w:val="24"/>
              </w:rPr>
              <w:t>,以及《龙穴街深化老年人助餐配餐服务资金保障方案》等相关文件执行，临时价格资助是区民政局会同区财政、统计等部门根据本市市场不同时间节点的肉类价格，对长者配餐临时补贴进行适时调整，报区政府批准后通知各镇（街）调整或终止该临时补贴。若在服务期内相关资助有所调整，按照相关最新的政策文件执行。）</w:t>
            </w:r>
          </w:p>
          <w:p>
            <w:pPr>
              <w:ind w:firstLine="482"/>
              <w:jc w:val="left"/>
            </w:pPr>
          </w:p>
          <w:p>
            <w:pPr>
              <w:ind w:firstLine="482"/>
              <w:jc w:val="center"/>
            </w:pPr>
            <w:r>
              <w:rPr>
                <w:b/>
                <w:sz w:val="24"/>
              </w:rPr>
              <w:t>表5医养结合服务项目资助一览表</w:t>
            </w:r>
          </w:p>
          <w:tbl>
            <w:tblPr>
              <w:tblBorders>
                <w:top w:val="none" w:color="000000" w:sz="4"/>
                <w:left w:val="none" w:color="000000" w:sz="4"/>
                <w:bottom w:val="none" w:color="000000" w:sz="4"/>
                <w:right w:val="none" w:color="000000" w:sz="4"/>
                <w:insideH w:val="none"/>
                <w:insideV w:val="none"/>
              </w:tblBorders>
            </w:tblPr>
            <w:tblGrid>
              <w:gridCol w:w="3526"/>
              <w:gridCol w:w="2061"/>
            </w:tblGrid>
            <w:tr>
              <w:tc>
                <w:tcPr>
                  <w:tcW w:type="dxa" w:w="3526"/>
                  <w:tcBorders>
                    <w:top w:val="single" w:color="000000" w:sz="4"/>
                    <w:left w:val="single" w:color="000000" w:sz="4"/>
                    <w:bottom w:val="single" w:color="000000" w:sz="4"/>
                    <w:right w:val="single" w:color="000000" w:sz="4"/>
                  </w:tcBorders>
                  <w:vAlign w:val="top"/>
                </w:tcPr>
                <w:p>
                  <w:pPr>
                    <w:jc w:val="center"/>
                  </w:pPr>
                  <w:r>
                    <w:rPr>
                      <w:b/>
                      <w:sz w:val="24"/>
                    </w:rPr>
                    <w:t>资助类型</w:t>
                  </w:r>
                </w:p>
              </w:tc>
              <w:tc>
                <w:tcPr>
                  <w:tcW w:type="dxa" w:w="2061"/>
                  <w:tcBorders>
                    <w:top w:val="single" w:color="000000" w:sz="4"/>
                    <w:left w:val="single" w:color="000000" w:sz="4"/>
                    <w:bottom w:val="single" w:color="000000" w:sz="4"/>
                    <w:right w:val="single" w:color="000000" w:sz="4"/>
                  </w:tcBorders>
                  <w:vAlign w:val="top"/>
                </w:tcPr>
                <w:p>
                  <w:pPr>
                    <w:jc w:val="center"/>
                  </w:pPr>
                  <w:r>
                    <w:rPr>
                      <w:b/>
                      <w:sz w:val="24"/>
                    </w:rPr>
                    <w:t>资助经费</w:t>
                  </w:r>
                </w:p>
              </w:tc>
            </w:tr>
            <w:tr>
              <w:tc>
                <w:tcPr>
                  <w:tcW w:type="dxa" w:w="3526"/>
                  <w:tcBorders>
                    <w:top w:val="none" w:color="000000" w:sz="4"/>
                    <w:left w:val="single" w:color="000000" w:sz="4"/>
                    <w:bottom w:val="single" w:color="000000" w:sz="4"/>
                    <w:right w:val="single" w:color="000000" w:sz="4"/>
                  </w:tcBorders>
                  <w:vAlign w:val="top"/>
                </w:tcPr>
                <w:p>
                  <w:pPr>
                    <w:jc w:val="left"/>
                  </w:pPr>
                  <w:r>
                    <w:rPr>
                      <w:sz w:val="24"/>
                    </w:rPr>
                    <w:t>社区健康档案服务（健康体检、建立档案、疾病疗诊、家庭保健、健康教育等）</w:t>
                  </w:r>
                </w:p>
              </w:tc>
              <w:tc>
                <w:tcPr>
                  <w:tcW w:type="dxa" w:w="2061"/>
                  <w:tcBorders>
                    <w:top w:val="none" w:color="000000" w:sz="4"/>
                    <w:left w:val="single" w:color="000000" w:sz="4"/>
                    <w:bottom w:val="single" w:color="000000" w:sz="4"/>
                    <w:right w:val="single" w:color="000000" w:sz="4"/>
                  </w:tcBorders>
                  <w:vAlign w:val="top"/>
                </w:tcPr>
                <w:p>
                  <w:pPr>
                    <w:jc w:val="left"/>
                  </w:pPr>
                  <w:r>
                    <w:rPr>
                      <w:sz w:val="24"/>
                    </w:rPr>
                    <w:t>每服务1次资助5元。</w:t>
                  </w:r>
                </w:p>
                <w:p>
                  <w:pPr>
                    <w:jc w:val="left"/>
                  </w:pPr>
                </w:p>
              </w:tc>
            </w:tr>
            <w:tr>
              <w:tc>
                <w:tcPr>
                  <w:tcW w:type="dxa" w:w="3526"/>
                  <w:tcBorders>
                    <w:top w:val="none" w:color="000000" w:sz="4"/>
                    <w:left w:val="single" w:color="000000" w:sz="4"/>
                    <w:bottom w:val="single" w:color="000000" w:sz="4"/>
                    <w:right w:val="single" w:color="000000" w:sz="4"/>
                  </w:tcBorders>
                  <w:vAlign w:val="top"/>
                </w:tcPr>
                <w:p>
                  <w:pPr>
                    <w:jc w:val="left"/>
                  </w:pPr>
                  <w:r>
                    <w:rPr>
                      <w:sz w:val="24"/>
                    </w:rPr>
                    <w:t>老年人康复服务（家政服务、医疗保健、生活照料服务）</w:t>
                  </w:r>
                </w:p>
              </w:tc>
              <w:tc>
                <w:tcPr>
                  <w:tcW w:type="dxa" w:w="2061"/>
                  <w:tcBorders>
                    <w:top w:val="none" w:color="000000" w:sz="4"/>
                    <w:left w:val="single" w:color="000000" w:sz="4"/>
                    <w:bottom w:val="single" w:color="000000" w:sz="4"/>
                    <w:right w:val="single" w:color="000000" w:sz="4"/>
                  </w:tcBorders>
                  <w:vAlign w:val="top"/>
                </w:tcPr>
                <w:p>
                  <w:pPr>
                    <w:jc w:val="left"/>
                  </w:pPr>
                  <w:r>
                    <w:rPr>
                      <w:sz w:val="24"/>
                    </w:rPr>
                    <w:t>每服务1人次资助8元。</w:t>
                  </w:r>
                </w:p>
              </w:tc>
            </w:tr>
            <w:tr>
              <w:tc>
                <w:tcPr>
                  <w:tcW w:type="dxa" w:w="3526"/>
                  <w:tcBorders>
                    <w:top w:val="none" w:color="000000" w:sz="4"/>
                    <w:left w:val="single" w:color="000000" w:sz="4"/>
                    <w:bottom w:val="single" w:color="000000" w:sz="4"/>
                    <w:right w:val="single" w:color="000000" w:sz="4"/>
                  </w:tcBorders>
                  <w:vAlign w:val="top"/>
                </w:tcPr>
                <w:p>
                  <w:pPr>
                    <w:jc w:val="left"/>
                  </w:pPr>
                  <w:r>
                    <w:rPr>
                      <w:sz w:val="24"/>
                    </w:rPr>
                    <w:t>临终关怀（基本护理、照料）</w:t>
                  </w:r>
                </w:p>
              </w:tc>
              <w:tc>
                <w:tcPr>
                  <w:tcW w:type="dxa" w:w="2061"/>
                  <w:tcBorders>
                    <w:top w:val="none" w:color="000000" w:sz="4"/>
                    <w:left w:val="single" w:color="000000" w:sz="4"/>
                    <w:bottom w:val="single" w:color="000000" w:sz="4"/>
                    <w:right w:val="single" w:color="000000" w:sz="4"/>
                  </w:tcBorders>
                  <w:vAlign w:val="top"/>
                </w:tcPr>
                <w:p>
                  <w:pPr>
                    <w:jc w:val="left"/>
                  </w:pPr>
                  <w:r>
                    <w:rPr>
                      <w:sz w:val="24"/>
                    </w:rPr>
                    <w:t>每服务1人次资助1.5元。</w:t>
                  </w:r>
                </w:p>
              </w:tc>
            </w:tr>
          </w:tbl>
          <w:p>
            <w:pPr>
              <w:ind w:firstLine="482"/>
              <w:jc w:val="left"/>
            </w:pPr>
            <w:r>
              <w:rPr>
                <w:b/>
                <w:sz w:val="24"/>
              </w:rPr>
              <w:t>（注：</w:t>
            </w:r>
            <w:r>
              <w:rPr>
                <w:b/>
                <w:sz w:val="24"/>
              </w:rPr>
              <w:t>按照《关于印发</w:t>
            </w:r>
            <w:r>
              <w:rPr>
                <w:b/>
                <w:sz w:val="24"/>
              </w:rPr>
              <w:t>&lt;南沙区关于促进医疗卫生和养老服务相结合的工作方案&gt;的通知》（穗南民〔2018〕170号）文件规定的标准给予资助，以中期评估和末期评估评定的服务量结算。若该项资助有新的调整政策，就按照最新的文件政策执行。）</w:t>
            </w:r>
          </w:p>
          <w:p>
            <w:pPr>
              <w:ind w:firstLine="482"/>
              <w:jc w:val="left"/>
            </w:pPr>
            <w:r>
              <w:rPr>
                <w:b/>
                <w:sz w:val="24"/>
              </w:rPr>
              <w:t>二、项目需求</w:t>
            </w:r>
          </w:p>
          <w:p>
            <w:pPr>
              <w:ind w:firstLine="482"/>
              <w:jc w:val="left"/>
            </w:pPr>
            <w:r>
              <w:rPr>
                <w:b/>
                <w:sz w:val="24"/>
              </w:rPr>
              <w:t>（一）项目内容</w:t>
            </w:r>
          </w:p>
          <w:p>
            <w:pPr>
              <w:ind w:firstLine="480"/>
              <w:jc w:val="both"/>
            </w:pPr>
            <w:r>
              <w:rPr>
                <w:sz w:val="24"/>
              </w:rPr>
              <w:t>★根据广州市地方标准《社区居家养老服务规范》为服务区域内的老年人提供全托、康复护理、生活照料、助餐配餐、医疗保健、日间托管、临时托养（喘息服务）、精神慰藉、辅具租赁、家居改造、临终关怀、文化娱乐、紧急援助等基本养老服务，重点为有需求的失能、失智老年人提供服务。服务项目应当根据本市基本养老服务清单进行动态调整。</w:t>
            </w:r>
          </w:p>
          <w:p>
            <w:pPr>
              <w:ind w:firstLine="480"/>
              <w:jc w:val="both"/>
            </w:pPr>
            <w:r>
              <w:rPr>
                <w:b/>
                <w:sz w:val="24"/>
              </w:rPr>
              <w:t>（二）服务设施</w:t>
            </w:r>
          </w:p>
          <w:p>
            <w:pPr>
              <w:ind w:firstLine="480"/>
              <w:jc w:val="both"/>
            </w:pPr>
            <w:r>
              <w:rPr>
                <w:sz w:val="24"/>
              </w:rPr>
              <w:t>龙穴街综合养老服务中心服务设施，为本辖区内常住老年人提供养老服务向导、助餐配餐、生活照料、定期巡访、辅具租赁、平安通、家庭照护培训、文体教育、居家适老化改造、家庭养老床位、日间托管、临时托养、医养康养、康复护理等基本养老服务，重点为有需求的失能、失智老年人提供服务。服务项目应当根据本市基本养老服务清单进行动态调整。</w:t>
            </w:r>
          </w:p>
          <w:p>
            <w:pPr>
              <w:jc w:val="center"/>
            </w:pPr>
            <w:r>
              <w:rPr>
                <w:b/>
                <w:sz w:val="24"/>
              </w:rPr>
              <w:t>表</w:t>
            </w:r>
            <w:r>
              <w:rPr>
                <w:b/>
                <w:sz w:val="24"/>
              </w:rPr>
              <w:t>6服务设施一览表</w:t>
            </w:r>
          </w:p>
          <w:tbl>
            <w:tblPr>
              <w:tblBorders>
                <w:top w:val="none" w:color="000000" w:sz="4"/>
                <w:left w:val="none" w:color="000000" w:sz="4"/>
                <w:bottom w:val="none" w:color="000000" w:sz="4"/>
                <w:right w:val="none" w:color="000000" w:sz="4"/>
                <w:insideH w:val="none"/>
                <w:insideV w:val="none"/>
              </w:tblBorders>
            </w:tblPr>
            <w:tblGrid>
              <w:gridCol w:w="1731"/>
              <w:gridCol w:w="2419"/>
              <w:gridCol w:w="1437"/>
            </w:tblGrid>
            <w:tr>
              <w:tc>
                <w:tcPr>
                  <w:tcW w:type="dxa" w:w="1731"/>
                  <w:tcBorders>
                    <w:top w:val="single" w:color="000000" w:sz="4"/>
                    <w:left w:val="single" w:color="000000" w:sz="4"/>
                    <w:bottom w:val="single" w:color="000000" w:sz="4"/>
                    <w:right w:val="single" w:color="000000" w:sz="4"/>
                  </w:tcBorders>
                  <w:vAlign w:val="top"/>
                </w:tcPr>
                <w:p>
                  <w:pPr>
                    <w:jc w:val="center"/>
                  </w:pPr>
                  <w:r>
                    <w:rPr>
                      <w:b/>
                      <w:sz w:val="24"/>
                    </w:rPr>
                    <w:t>设施名称</w:t>
                  </w:r>
                </w:p>
              </w:tc>
              <w:tc>
                <w:tcPr>
                  <w:tcW w:type="dxa" w:w="2419"/>
                  <w:tcBorders>
                    <w:top w:val="single" w:color="000000" w:sz="4"/>
                    <w:left w:val="single" w:color="000000" w:sz="4"/>
                    <w:bottom w:val="single" w:color="000000" w:sz="4"/>
                    <w:right w:val="single" w:color="000000" w:sz="4"/>
                  </w:tcBorders>
                  <w:vAlign w:val="top"/>
                </w:tcPr>
                <w:p>
                  <w:pPr>
                    <w:jc w:val="center"/>
                  </w:pPr>
                  <w:r>
                    <w:rPr>
                      <w:b/>
                      <w:sz w:val="24"/>
                    </w:rPr>
                    <w:t>设施地址</w:t>
                  </w:r>
                </w:p>
              </w:tc>
              <w:tc>
                <w:tcPr>
                  <w:tcW w:type="dxa" w:w="1437"/>
                  <w:tcBorders>
                    <w:top w:val="single" w:color="000000" w:sz="4"/>
                    <w:left w:val="single" w:color="000000" w:sz="4"/>
                    <w:bottom w:val="single" w:color="000000" w:sz="4"/>
                    <w:right w:val="single" w:color="000000" w:sz="4"/>
                  </w:tcBorders>
                  <w:vAlign w:val="top"/>
                </w:tcPr>
                <w:p>
                  <w:pPr>
                    <w:jc w:val="both"/>
                  </w:pPr>
                  <w:r>
                    <w:rPr>
                      <w:b/>
                      <w:sz w:val="24"/>
                    </w:rPr>
                    <w:t>可使用面积（㎡）</w:t>
                  </w:r>
                </w:p>
              </w:tc>
            </w:tr>
            <w:tr>
              <w:tc>
                <w:tcPr>
                  <w:tcW w:type="dxa" w:w="1731"/>
                  <w:tcBorders>
                    <w:top w:val="none" w:color="000000" w:sz="4"/>
                    <w:left w:val="single" w:color="000000" w:sz="4"/>
                    <w:bottom w:val="single" w:color="000000" w:sz="4"/>
                    <w:right w:val="single" w:color="000000" w:sz="4"/>
                  </w:tcBorders>
                  <w:vAlign w:val="top"/>
                </w:tcPr>
                <w:p>
                  <w:pPr>
                    <w:jc w:val="center"/>
                  </w:pPr>
                  <w:r>
                    <w:rPr>
                      <w:sz w:val="24"/>
                    </w:rPr>
                    <w:t>龙穴街综合养老服务中心</w:t>
                  </w:r>
                </w:p>
              </w:tc>
              <w:tc>
                <w:tcPr>
                  <w:tcW w:type="dxa" w:w="2419"/>
                  <w:tcBorders>
                    <w:top w:val="none" w:color="000000" w:sz="4"/>
                    <w:left w:val="single" w:color="000000" w:sz="4"/>
                    <w:bottom w:val="single" w:color="000000" w:sz="4"/>
                    <w:right w:val="single" w:color="000000" w:sz="4"/>
                  </w:tcBorders>
                  <w:vAlign w:val="top"/>
                </w:tcPr>
                <w:p>
                  <w:pPr>
                    <w:jc w:val="both"/>
                  </w:pPr>
                  <w:r>
                    <w:rPr>
                      <w:sz w:val="24"/>
                    </w:rPr>
                    <w:t>广州市南沙区龙穴街龙穴路</w:t>
                  </w:r>
                  <w:r>
                    <w:rPr>
                      <w:sz w:val="24"/>
                    </w:rPr>
                    <w:t>38号、40号、42号、44号等4栋房屋</w:t>
                  </w:r>
                </w:p>
              </w:tc>
              <w:tc>
                <w:tcPr>
                  <w:tcW w:type="dxa" w:w="1437"/>
                  <w:tcBorders>
                    <w:top w:val="none" w:color="000000" w:sz="4"/>
                    <w:left w:val="single" w:color="000000" w:sz="4"/>
                    <w:bottom w:val="single" w:color="000000" w:sz="4"/>
                    <w:right w:val="single" w:color="000000" w:sz="4"/>
                  </w:tcBorders>
                  <w:vAlign w:val="top"/>
                </w:tcPr>
                <w:p>
                  <w:pPr>
                    <w:jc w:val="center"/>
                  </w:pPr>
                  <w:r>
                    <w:rPr>
                      <w:sz w:val="24"/>
                    </w:rPr>
                    <w:t>约</w:t>
                  </w:r>
                  <w:r>
                    <w:rPr>
                      <w:sz w:val="24"/>
                    </w:rPr>
                    <w:t>1008</w:t>
                  </w:r>
                </w:p>
              </w:tc>
            </w:tr>
          </w:tbl>
          <w:p>
            <w:pPr>
              <w:jc w:val="both"/>
            </w:pPr>
            <w:r>
              <w:rPr>
                <w:b/>
                <w:sz w:val="24"/>
              </w:rPr>
              <w:t xml:space="preserve">    （三）服务区域：</w:t>
            </w:r>
            <w:r>
              <w:rPr>
                <w:sz w:val="24"/>
              </w:rPr>
              <w:t>广州市南沙区龙穴街道区域内老年人</w:t>
            </w:r>
          </w:p>
          <w:p>
            <w:pPr>
              <w:jc w:val="both"/>
            </w:pPr>
            <w:r>
              <w:rPr>
                <w:b/>
                <w:sz w:val="24"/>
              </w:rPr>
              <w:t xml:space="preserve">     （四）服务对象：</w:t>
            </w:r>
            <w:r>
              <w:rPr>
                <w:sz w:val="24"/>
              </w:rPr>
              <w:t>以享受政府资助的社区居家养老服务的老年群体为重点对象，服务率达到</w:t>
            </w:r>
            <w:r>
              <w:rPr>
                <w:sz w:val="24"/>
              </w:rPr>
              <w:t>100%；同时发展区域内的老年群体成为服务对象，覆盖率须达到100%。</w:t>
            </w:r>
          </w:p>
          <w:p>
            <w:pPr>
              <w:jc w:val="both"/>
            </w:pPr>
            <w:r>
              <w:rPr>
                <w:b/>
                <w:sz w:val="24"/>
              </w:rPr>
              <w:t xml:space="preserve">     （五）服务形式</w:t>
            </w:r>
          </w:p>
          <w:p>
            <w:pPr>
              <w:ind w:firstLine="480"/>
              <w:jc w:val="both"/>
            </w:pPr>
            <w:r>
              <w:rPr>
                <w:sz w:val="24"/>
              </w:rPr>
              <w:t>根据提供服务时的场所不同，分为上门服务和到服务点服务。</w:t>
            </w:r>
          </w:p>
          <w:p>
            <w:pPr>
              <w:jc w:val="both"/>
            </w:pPr>
            <w:r>
              <w:rPr>
                <w:b/>
                <w:sz w:val="24"/>
              </w:rPr>
              <w:t xml:space="preserve">     （六）服务指标</w:t>
            </w:r>
          </w:p>
          <w:p>
            <w:pPr>
              <w:jc w:val="center"/>
            </w:pPr>
            <w:r>
              <w:rPr>
                <w:b/>
                <w:sz w:val="24"/>
              </w:rPr>
              <w:t>表</w:t>
            </w:r>
            <w:r>
              <w:rPr>
                <w:b/>
                <w:sz w:val="24"/>
              </w:rPr>
              <w:t>7服务指标表</w:t>
            </w:r>
          </w:p>
          <w:p>
            <w:pPr>
              <w:jc w:val="center"/>
            </w:pPr>
            <w:r>
              <w:rPr/>
              <w:t xml:space="preserve"> </w:t>
            </w:r>
          </w:p>
          <w:tbl>
            <w:tblPr>
              <w:tblBorders>
                <w:top w:val="none" w:color="000000" w:sz="4"/>
                <w:left w:val="none" w:color="000000" w:sz="4"/>
                <w:bottom w:val="none" w:color="000000" w:sz="4"/>
                <w:right w:val="none" w:color="000000" w:sz="4"/>
                <w:insideH w:val="none"/>
                <w:insideV w:val="none"/>
              </w:tblBorders>
            </w:tblPr>
            <w:tblGrid>
              <w:gridCol w:w="271"/>
              <w:gridCol w:w="461"/>
              <w:gridCol w:w="470"/>
              <w:gridCol w:w="2378"/>
              <w:gridCol w:w="533"/>
              <w:gridCol w:w="732"/>
              <w:gridCol w:w="732"/>
            </w:tblGrid>
            <w:tr>
              <w:tc>
                <w:tcPr>
                  <w:tcW w:type="dxa" w:w="27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461"/>
                  <w:tcBorders>
                    <w:top w:val="single" w:color="000000" w:sz="4"/>
                    <w:left w:val="single" w:color="000000" w:sz="4"/>
                    <w:bottom w:val="single" w:color="000000" w:sz="4"/>
                    <w:right w:val="single" w:color="000000" w:sz="4"/>
                  </w:tcBorders>
                  <w:vAlign w:val="top"/>
                </w:tcPr>
                <w:p>
                  <w:pPr>
                    <w:jc w:val="center"/>
                  </w:pPr>
                  <w:r>
                    <w:rPr>
                      <w:b/>
                      <w:sz w:val="24"/>
                    </w:rPr>
                    <w:t>服务类别</w:t>
                  </w:r>
                </w:p>
              </w:tc>
              <w:tc>
                <w:tcPr>
                  <w:tcW w:type="dxa" w:w="470"/>
                  <w:tcBorders>
                    <w:top w:val="single" w:color="000000" w:sz="4"/>
                    <w:left w:val="single" w:color="000000" w:sz="4"/>
                    <w:bottom w:val="single" w:color="000000" w:sz="4"/>
                    <w:right w:val="single" w:color="000000" w:sz="4"/>
                  </w:tcBorders>
                  <w:vAlign w:val="top"/>
                </w:tcPr>
                <w:p>
                  <w:pPr>
                    <w:jc w:val="center"/>
                  </w:pPr>
                  <w:r>
                    <w:rPr>
                      <w:b/>
                      <w:sz w:val="24"/>
                    </w:rPr>
                    <w:t>服务项目</w:t>
                  </w:r>
                </w:p>
              </w:tc>
              <w:tc>
                <w:tcPr>
                  <w:tcW w:type="dxa" w:w="2378"/>
                  <w:tcBorders>
                    <w:top w:val="single" w:color="000000" w:sz="4"/>
                    <w:left w:val="single" w:color="000000" w:sz="4"/>
                    <w:bottom w:val="single" w:color="000000" w:sz="4"/>
                    <w:right w:val="single" w:color="000000" w:sz="4"/>
                  </w:tcBorders>
                  <w:vAlign w:val="top"/>
                </w:tcPr>
                <w:p>
                  <w:pPr>
                    <w:jc w:val="center"/>
                  </w:pPr>
                  <w:r>
                    <w:rPr>
                      <w:b/>
                      <w:sz w:val="24"/>
                    </w:rPr>
                    <w:t>服务内容</w:t>
                  </w:r>
                </w:p>
              </w:tc>
              <w:tc>
                <w:tcPr>
                  <w:tcW w:type="dxa" w:w="533"/>
                  <w:tcBorders>
                    <w:top w:val="single" w:color="000000" w:sz="4"/>
                    <w:left w:val="single" w:color="000000" w:sz="4"/>
                    <w:bottom w:val="single" w:color="000000" w:sz="4"/>
                    <w:right w:val="single" w:color="000000" w:sz="4"/>
                  </w:tcBorders>
                  <w:vAlign w:val="top"/>
                </w:tcPr>
                <w:p>
                  <w:pPr>
                    <w:jc w:val="center"/>
                  </w:pPr>
                  <w:r>
                    <w:rPr>
                      <w:b/>
                      <w:sz w:val="24"/>
                    </w:rPr>
                    <w:t>指标单位</w:t>
                  </w:r>
                </w:p>
              </w:tc>
              <w:tc>
                <w:tcPr>
                  <w:tcW w:type="dxa" w:w="732"/>
                  <w:tcBorders>
                    <w:top w:val="single" w:color="000000" w:sz="4"/>
                    <w:left w:val="single" w:color="000000" w:sz="4"/>
                    <w:bottom w:val="single" w:color="000000" w:sz="4"/>
                    <w:right w:val="single" w:color="000000" w:sz="4"/>
                  </w:tcBorders>
                  <w:vAlign w:val="top"/>
                </w:tcPr>
                <w:p>
                  <w:pPr>
                    <w:jc w:val="center"/>
                  </w:pPr>
                  <w:r>
                    <w:rPr>
                      <w:b/>
                      <w:sz w:val="24"/>
                    </w:rPr>
                    <w:t>最低量化指标</w:t>
                  </w:r>
                </w:p>
              </w:tc>
              <w:tc>
                <w:tcPr>
                  <w:tcW w:type="dxa" w:w="732"/>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生活照料（通用服务）</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助洁服务</w:t>
                  </w:r>
                </w:p>
              </w:tc>
              <w:tc>
                <w:tcPr>
                  <w:tcW w:type="dxa" w:w="2378"/>
                  <w:tcBorders>
                    <w:top w:val="none" w:color="000000" w:sz="4"/>
                    <w:left w:val="single" w:color="000000" w:sz="4"/>
                    <w:bottom w:val="single" w:color="000000" w:sz="4"/>
                    <w:right w:val="single" w:color="000000" w:sz="4"/>
                  </w:tcBorders>
                  <w:vAlign w:val="top"/>
                </w:tcPr>
                <w:p>
                  <w:pPr>
                    <w:numPr>
                      <w:ilvl w:val="0"/>
                      <w:numId w:val="1"/>
                    </w:numPr>
                    <w:jc w:val="both"/>
                  </w:pPr>
                  <w:r>
                    <w:rPr>
                      <w:sz w:val="24"/>
                    </w:rPr>
                    <w:t>居家清洁：对客厅、卧室、厨房、洗浴间、卫生间等居家环境进行清扫、清洁；</w:t>
                  </w:r>
                </w:p>
                <w:p>
                  <w:pPr>
                    <w:numPr>
                      <w:ilvl w:val="0"/>
                      <w:numId w:val="1"/>
                    </w:numPr>
                    <w:jc w:val="both"/>
                  </w:pPr>
                  <w:r>
                    <w:rPr>
                      <w:sz w:val="24"/>
                    </w:rPr>
                    <w:t>物品整理：整理床铺（铺床、叠被子）及其他物品。</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1056</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可由养老护理员或家政服务员提供服务。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洗涤服务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清洗与晾晒衣物、床上用品（床单、被套、枕套）、窗帘、毛巾等，洗涤方式分为上门洗涤和集中送洗，大件、贵重的衣物可采用集中送洗方式。</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陪伴就医</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代预约挂号、陪诊、协助与医生沟通、取药、缴费、陪同往返、协助出行等。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陪同外出</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户外活动陪伴，陪护行动不便的服务对象到户外活动、包括（但不限于）参加社区活动、散步、购物等。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上门做餐</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代买食材、清洗烹任、协助进食、餐后卫生等。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代办服务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代预约挂号、银行打薄、排队；代缴纳水电煤气、话费等；代收寄快递；代领物品；代送物品；代买生活必需品；协助报修设备及物品；协助申请相关事务等。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日常提示</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根据医嘱或家属要求按时提醒老年人吃药、取药、提醒就医或办理相关事务。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情感关怀</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陪同聊天、定期探访（上门</w:t>
                  </w:r>
                  <w:r>
                    <w:rPr>
                      <w:sz w:val="24"/>
                    </w:rPr>
                    <w:t>/电访)。</w:t>
                  </w:r>
                </w:p>
              </w:tc>
            </w:tr>
            <w:tr>
              <w:tc>
                <w:tcPr>
                  <w:tcW w:type="dxa" w:w="27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生活照料（专业服务）</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个人护理</w:t>
                  </w:r>
                </w:p>
              </w:tc>
              <w:tc>
                <w:tcPr>
                  <w:tcW w:type="dxa" w:w="2378"/>
                  <w:tcBorders>
                    <w:top w:val="none" w:color="000000" w:sz="4"/>
                    <w:left w:val="single" w:color="000000" w:sz="4"/>
                    <w:bottom w:val="single" w:color="000000" w:sz="4"/>
                    <w:right w:val="single" w:color="000000" w:sz="4"/>
                  </w:tcBorders>
                  <w:vAlign w:val="top"/>
                </w:tcPr>
                <w:p>
                  <w:pPr>
                    <w:numPr>
                      <w:ilvl w:val="0"/>
                      <w:numId w:val="1"/>
                    </w:numPr>
                    <w:jc w:val="both"/>
                  </w:pPr>
                  <w:r>
                    <w:rPr>
                      <w:sz w:val="24"/>
                    </w:rPr>
                    <w:t>皮肤外用药物涂擦；留置尿管护理；人工肛门便袋护理；口腔清洁；协助翻身；褥疮预防；叩背排痰等；</w:t>
                  </w:r>
                </w:p>
                <w:p>
                  <w:pPr>
                    <w:numPr>
                      <w:ilvl w:val="0"/>
                      <w:numId w:val="1"/>
                    </w:numPr>
                    <w:jc w:val="both"/>
                  </w:pPr>
                  <w:r>
                    <w:rPr>
                      <w:sz w:val="24"/>
                    </w:rPr>
                    <w:t>协助穿（脱）衣；洗脸；梳头；剪发；剃须；刷牙；漱口、洗手；洗足；会阴清洁；修剪指（趾）甲。</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1056</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由养老护理员、康复治疗师、护士等专业人员提供服务。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转移护理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协助床上移动；床上体位转换；轮椅转移；移动辅助器应用指导等。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排泄护理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协助排便；更换一次性尿裤；会阴护理；留置尿管护理；人工肛门便袋护理等。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协助进餐</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喂食或帮助服务对象使用辅助器材进食，包括喂水、喂饭、鼻饲、喂药等。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助浴服务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洗头；洗澡（温水擦浴、沐浴）；床上浴、更换衣物。</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助行服务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协助服务对象行走、外出、散步，协助其使用助行器</w:t>
                  </w:r>
                  <w:r>
                    <w:rPr>
                      <w:sz w:val="24"/>
                    </w:rPr>
                    <w:t>/步行器移动.</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其他护理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睡眠照顾（协助脱去衣裤就寝，盖被，定时翻身）；热水袋保暖；更换床上用品。</w:t>
                  </w:r>
                </w:p>
                <w:p>
                  <w:pPr>
                    <w:jc w:val="both"/>
                  </w:pP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日常提示</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根据医嘱或家属要求按时提醒老年人吃药、取药，提醒就医或办理相关事宜。</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情感关怀</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陪同聊天、定期探访（上门</w:t>
                  </w:r>
                  <w:r>
                    <w:rPr>
                      <w:sz w:val="24"/>
                    </w:rPr>
                    <w:t>/电访).</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2</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助餐配餐</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集中用餐</w:t>
                  </w:r>
                </w:p>
              </w:tc>
              <w:tc>
                <w:tcPr>
                  <w:tcW w:type="dxa" w:w="2378"/>
                  <w:tcBorders>
                    <w:top w:val="none" w:color="000000" w:sz="4"/>
                    <w:left w:val="single" w:color="000000" w:sz="4"/>
                    <w:bottom w:val="single" w:color="000000" w:sz="4"/>
                    <w:right w:val="single" w:color="000000" w:sz="4"/>
                  </w:tcBorders>
                  <w:vAlign w:val="top"/>
                </w:tcPr>
                <w:p>
                  <w:pPr>
                    <w:jc w:val="center"/>
                  </w:pPr>
                  <w:r>
                    <w:rPr>
                      <w:sz w:val="24"/>
                    </w:rPr>
                    <w:t>在社区长者饭堂集中用餐、打包外带。</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792</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由助餐配餐点提供服务。按照南沙区、龙穴街助餐配餐的工作方案执行。</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上门送餐</w:t>
                  </w:r>
                </w:p>
              </w:tc>
              <w:tc>
                <w:tcPr>
                  <w:tcW w:type="dxa" w:w="2378"/>
                  <w:tcBorders>
                    <w:top w:val="none" w:color="000000" w:sz="4"/>
                    <w:left w:val="single" w:color="000000" w:sz="4"/>
                    <w:bottom w:val="single" w:color="000000" w:sz="4"/>
                    <w:right w:val="single" w:color="000000" w:sz="4"/>
                  </w:tcBorders>
                  <w:vAlign w:val="top"/>
                </w:tcPr>
                <w:p>
                  <w:pPr>
                    <w:jc w:val="center"/>
                  </w:pPr>
                  <w:r>
                    <w:rPr>
                      <w:sz w:val="24"/>
                    </w:rPr>
                    <w:t>老年助餐配餐服务机构送餐到家服务；由居家服务员协助使用网络订餐；居家服务员（或志愿者）代购餐后送餐上门。</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3</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康复护理</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康复咨询</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健康咨询、康复咨询、康复指引。</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800</w:t>
                  </w:r>
                </w:p>
              </w:tc>
              <w:tc>
                <w:tcPr>
                  <w:tcW w:type="dxa" w:w="732"/>
                  <w:vMerge w:val="restart"/>
                  <w:tcBorders>
                    <w:top w:val="none" w:color="000000" w:sz="4"/>
                    <w:left w:val="single" w:color="000000" w:sz="4"/>
                    <w:bottom w:val="single" w:color="000000" w:sz="4"/>
                    <w:right w:val="single" w:color="000000" w:sz="4"/>
                  </w:tcBorders>
                  <w:vAlign w:val="top"/>
                </w:tcPr>
                <w:p>
                  <w:pPr>
                    <w:jc w:val="left"/>
                  </w:pPr>
                  <w:r>
                    <w:rPr>
                      <w:sz w:val="24"/>
                    </w:rPr>
                    <w:t>执业康复师、执业护士提供服务。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器材锻炼</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安全性高、操作简便、老人可自行开展的一般器材锻炼（如按摩椅、手指训练器、拼图、捏力器等）。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康复训练</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肢体类康复训练（如腰椎康复训练、关节放松训练等）、认知感官类训练（如记忆力训练、认知测试等）。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康复理疗</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针灸理疗、穴位针灸、足部理疗、器械按摩、中风物理治疗、颈椎推拿、按摩推拿、拨罐刮痧。</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4</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医疗保健</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健康档案</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建立健康档案，进行病历记录、个人药物记录、体检记录等，定时跟踪健康情况。</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800</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执业护士、执业医师提供服务。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预防保健</w:t>
                  </w:r>
                </w:p>
              </w:tc>
              <w:tc>
                <w:tcPr>
                  <w:tcW w:type="dxa" w:w="2378"/>
                  <w:tcBorders>
                    <w:top w:val="none" w:color="000000" w:sz="4"/>
                    <w:left w:val="single" w:color="000000" w:sz="4"/>
                    <w:bottom w:val="single" w:color="000000" w:sz="4"/>
                    <w:right w:val="single" w:color="000000" w:sz="4"/>
                  </w:tcBorders>
                  <w:vAlign w:val="top"/>
                </w:tcPr>
                <w:p>
                  <w:pPr>
                    <w:numPr>
                      <w:ilvl w:val="0"/>
                      <w:numId w:val="1"/>
                    </w:numPr>
                    <w:jc w:val="both"/>
                  </w:pPr>
                  <w:r>
                    <w:rPr>
                      <w:sz w:val="24"/>
                    </w:rPr>
                    <w:t>提供健康咨询、饮食咨询、营养指导、锻炼指导、活动指导服务；</w:t>
                  </w:r>
                </w:p>
                <w:p>
                  <w:pPr>
                    <w:numPr>
                      <w:ilvl w:val="0"/>
                      <w:numId w:val="1"/>
                    </w:numPr>
                    <w:jc w:val="both"/>
                  </w:pPr>
                  <w:r>
                    <w:rPr>
                      <w:sz w:val="24"/>
                    </w:rPr>
                    <w:t>用药指导与用药观察，日常提示吃药，取药；</w:t>
                  </w:r>
                </w:p>
                <w:p>
                  <w:pPr>
                    <w:numPr>
                      <w:ilvl w:val="0"/>
                      <w:numId w:val="1"/>
                    </w:numPr>
                    <w:jc w:val="both"/>
                  </w:pPr>
                  <w:r>
                    <w:rPr>
                      <w:sz w:val="24"/>
                    </w:rPr>
                    <w:t>健康宣教、保健知识讲座、保健学习及相关的小组活动；</w:t>
                  </w:r>
                </w:p>
                <w:p>
                  <w:pPr>
                    <w:numPr>
                      <w:ilvl w:val="0"/>
                      <w:numId w:val="1"/>
                    </w:numPr>
                    <w:jc w:val="both"/>
                  </w:pPr>
                  <w:r>
                    <w:rPr>
                      <w:sz w:val="24"/>
                    </w:rPr>
                    <w:t>社区义诊。</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基础监测</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常规生理指数监测，如体温、血压、心率、呼吸、血糖、体重等。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健康体检</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常规体格检查、血常规、尿常规、大便常规、肝功能、肾功能、空腹血糖、血脂和心电力图检测等项目。</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医疗护理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鼻饲、物理降温、导原、压疮护理、创口换药、吸氧、造口护理、其他专业护理项目。</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家庭病床</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家庭医生上门巡诊等。</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5</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文化娱乐</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娱乐活动</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如棋牌、歌舞、打球、书画、阅读、太极健康操、八段锦、茶话会、生日会、游园会、传统节日等活动。</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场</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每月至少开展</w:t>
                  </w:r>
                  <w:r>
                    <w:rPr>
                      <w:sz w:val="24"/>
                    </w:rPr>
                    <w:t>2场</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娱乐活动及老年教育经费由服务机构提供。</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老年教育</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老年课堂，如钢琴、摄影、书法绘画、英语、计算机、纺织、手工、健康讲座等。</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场</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每月至少开展</w:t>
                  </w:r>
                  <w:r>
                    <w:rPr>
                      <w:sz w:val="24"/>
                    </w:rPr>
                    <w:t>2场</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6</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精神慰藉</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电话问候</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定期电话问候、聊天、提示。</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528</w:t>
                  </w:r>
                </w:p>
              </w:tc>
              <w:tc>
                <w:tcPr>
                  <w:tcW w:type="dxa" w:w="732"/>
                  <w:vMerge w:val="restart"/>
                  <w:tcBorders>
                    <w:top w:val="none" w:color="000000" w:sz="4"/>
                    <w:left w:val="single" w:color="000000" w:sz="4"/>
                    <w:bottom w:val="single" w:color="000000" w:sz="4"/>
                    <w:right w:val="single" w:color="000000" w:sz="4"/>
                  </w:tcBorders>
                  <w:vAlign w:val="top"/>
                </w:tcPr>
                <w:p>
                  <w:pPr>
                    <w:jc w:val="both"/>
                  </w:pP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关怀访视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定期上门探访、关怀问候。</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服务回访</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定期回访、了解服务对象满意度。</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心理关怀</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提供心理上的安慰、支持、疏导等关怀服务。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个案服务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由社工开展的紧急介入、个案辅导、探访等。</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7</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安全援助</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紧急呼授</w:t>
                  </w:r>
                </w:p>
              </w:tc>
              <w:tc>
                <w:tcPr>
                  <w:tcW w:type="dxa" w:w="2378"/>
                  <w:tcBorders>
                    <w:top w:val="none" w:color="000000" w:sz="4"/>
                    <w:left w:val="single" w:color="000000" w:sz="4"/>
                    <w:bottom w:val="single" w:color="000000" w:sz="4"/>
                    <w:right w:val="single" w:color="000000" w:sz="4"/>
                  </w:tcBorders>
                  <w:vAlign w:val="top"/>
                </w:tcPr>
                <w:p>
                  <w:pPr>
                    <w:jc w:val="center"/>
                  </w:pPr>
                  <w:r>
                    <w:rPr>
                      <w:sz w:val="24"/>
                    </w:rPr>
                    <w:t>主要指平安通服务，包括紧急呼授服务、定位服务、咨询转介服务、心理慰藉、定期关怀服务、提示服务等。</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tcBorders>
                    <w:top w:val="none" w:color="000000" w:sz="4"/>
                    <w:left w:val="single" w:color="000000" w:sz="4"/>
                    <w:bottom w:val="single" w:color="000000" w:sz="4"/>
                    <w:right w:val="single" w:color="000000" w:sz="4"/>
                  </w:tcBorders>
                  <w:vAlign w:val="top"/>
                </w:tcPr>
                <w:p>
                  <w:pPr>
                    <w:jc w:val="center"/>
                  </w:pPr>
                  <w:r>
                    <w:rPr>
                      <w:sz w:val="24"/>
                    </w:rPr>
                    <w:t>288</w:t>
                  </w:r>
                </w:p>
              </w:tc>
              <w:tc>
                <w:tcPr>
                  <w:tcW w:type="dxa" w:w="732"/>
                  <w:tcBorders>
                    <w:top w:val="none" w:color="000000" w:sz="4"/>
                    <w:left w:val="single" w:color="000000" w:sz="4"/>
                    <w:bottom w:val="single" w:color="000000" w:sz="4"/>
                    <w:right w:val="single" w:color="000000" w:sz="4"/>
                  </w:tcBorders>
                  <w:vAlign w:val="top"/>
                </w:tcPr>
                <w:p>
                  <w:pPr>
                    <w:jc w:val="both"/>
                  </w:pPr>
                  <w:r>
                    <w:rPr>
                      <w:sz w:val="24"/>
                    </w:rPr>
                    <w:t>由平安通服务机构提供服务、服务机构需与平安通服务公司进行对接。</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居家适老化改造</w:t>
                  </w:r>
                </w:p>
              </w:tc>
              <w:tc>
                <w:tcPr>
                  <w:tcW w:type="dxa" w:w="2378"/>
                  <w:tcBorders>
                    <w:top w:val="none" w:color="000000" w:sz="4"/>
                    <w:left w:val="single" w:color="000000" w:sz="4"/>
                    <w:bottom w:val="single" w:color="000000" w:sz="4"/>
                    <w:right w:val="single" w:color="000000" w:sz="4"/>
                  </w:tcBorders>
                  <w:vAlign w:val="top"/>
                </w:tcPr>
                <w:p>
                  <w:pPr>
                    <w:numPr>
                      <w:ilvl w:val="0"/>
                      <w:numId w:val="1"/>
                    </w:numPr>
                    <w:jc w:val="both"/>
                  </w:pPr>
                  <w:r>
                    <w:rPr>
                      <w:sz w:val="24"/>
                    </w:rPr>
                    <w:t>上门查看服务对象家居安全、进行安全评估、居家安全教育。</w:t>
                  </w:r>
                </w:p>
                <w:p>
                  <w:pPr>
                    <w:numPr>
                      <w:ilvl w:val="0"/>
                      <w:numId w:val="1"/>
                    </w:numPr>
                    <w:jc w:val="both"/>
                  </w:pPr>
                  <w:r>
                    <w:rPr>
                      <w:sz w:val="24"/>
                    </w:rPr>
                    <w:t>通过链接资源，协助服务对象申请《广州市特殊困难老年人家庭及居住区公共设施无障碍改造项目资金管理办法》等相关文件规定的无障碍改造、适老化家居改造相关补贴。</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center"/>
                  </w:pPr>
                </w:p>
              </w:tc>
              <w:tc>
                <w:tcPr>
                  <w:tcW w:type="dxa" w:w="732"/>
                  <w:tcBorders>
                    <w:top w:val="none" w:color="000000" w:sz="4"/>
                    <w:left w:val="single" w:color="000000" w:sz="4"/>
                    <w:bottom w:val="single" w:color="000000" w:sz="4"/>
                    <w:right w:val="single" w:color="000000" w:sz="4"/>
                  </w:tcBorders>
                  <w:vAlign w:val="top"/>
                </w:tcPr>
                <w:p>
                  <w:pPr>
                    <w:jc w:val="left"/>
                  </w:pPr>
                  <w:r>
                    <w:rPr>
                      <w:sz w:val="24"/>
                    </w:rPr>
                    <w:t>按照对象所需提供服务。</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8</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辅具租赁</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展示与咨询</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拐杖、轮椅、坐便器、助行器、生活辅助器具等老年用品展示与介绍。</w:t>
                  </w:r>
                </w:p>
                <w:p>
                  <w:pPr>
                    <w:jc w:val="both"/>
                  </w:pP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vMerge w:val="restart"/>
                  <w:tcBorders>
                    <w:top w:val="none" w:color="000000" w:sz="4"/>
                    <w:left w:val="single" w:color="000000" w:sz="4"/>
                    <w:bottom w:val="single" w:color="000000" w:sz="4"/>
                    <w:right w:val="single" w:color="000000" w:sz="4"/>
                  </w:tcBorders>
                  <w:vAlign w:val="top"/>
                </w:tcPr>
                <w:p>
                  <w:pPr>
                    <w:jc w:val="center"/>
                  </w:pP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按照对象所需提供服务。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租赁与回收</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助行器</w:t>
                  </w:r>
                  <w:r>
                    <w:rPr>
                      <w:sz w:val="24"/>
                    </w:rPr>
                    <w:t>(四肢拐杖、三脚拐杖）、轮椅、代步车、护理床、防褥疮床垫、床面桌、制氧机、肋力转移车、洗澡椅、斜躺椅、坐便椅等辅具租赁。</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捐赠与受赠</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老年用品、物资捐赠与受赠。</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center"/>
                  </w:pPr>
                </w:p>
              </w:tc>
              <w:tc>
                <w:tcPr>
                  <w:tcW w:type="dxa" w:w="732"/>
                  <w:tcBorders>
                    <w:top w:val="none" w:color="000000" w:sz="4"/>
                    <w:left w:val="single" w:color="000000" w:sz="4"/>
                    <w:bottom w:val="single" w:color="000000" w:sz="4"/>
                    <w:right w:val="single" w:color="000000" w:sz="4"/>
                  </w:tcBorders>
                  <w:vAlign w:val="top"/>
                </w:tcPr>
                <w:p>
                  <w:pPr>
                    <w:jc w:val="both"/>
                  </w:pP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9</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临终关怀</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护理服务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包括护理评估、基础护理、症状特殊护理等。</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380</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按照服务对象所需提供服务。每周至少</w:t>
                  </w:r>
                  <w:r>
                    <w:rPr>
                      <w:sz w:val="24"/>
                    </w:rPr>
                    <w:t>2次，服务工时1小时/次。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膳食服务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由营养师设计适宜的食谱，鼓励进食、口腔护理以及鼻饲、胃肠外静脉营养输入等。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社会、心理、灵性服务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对临终者和家属的心理、社会照顾，有灵性</w:t>
                  </w:r>
                  <w:r>
                    <w:rPr>
                      <w:sz w:val="24"/>
                    </w:rPr>
                    <w:t>需求上的照顾服务。</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善后服务</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协助临终者家属完成殡葬事宜，帮助临终者家属进行丧亲的调适等。</w:t>
                  </w:r>
                </w:p>
              </w:tc>
            </w:tr>
            <w:tr>
              <w:tc>
                <w:tcPr>
                  <w:tcW w:type="dxa" w:w="271"/>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461"/>
                  <w:tcBorders>
                    <w:top w:val="none" w:color="000000" w:sz="4"/>
                    <w:left w:val="single" w:color="000000" w:sz="4"/>
                    <w:bottom w:val="single" w:color="000000" w:sz="4"/>
                    <w:right w:val="single" w:color="000000" w:sz="4"/>
                  </w:tcBorders>
                  <w:vAlign w:val="top"/>
                </w:tcPr>
                <w:p>
                  <w:pPr>
                    <w:jc w:val="center"/>
                  </w:pPr>
                  <w:r>
                    <w:rPr>
                      <w:sz w:val="24"/>
                    </w:rPr>
                    <w:t>转介服务</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转介服务</w:t>
                  </w:r>
                </w:p>
              </w:tc>
              <w:tc>
                <w:tcPr>
                  <w:tcW w:type="dxa" w:w="2378"/>
                  <w:tcBorders>
                    <w:top w:val="none" w:color="000000" w:sz="4"/>
                    <w:left w:val="single" w:color="000000" w:sz="4"/>
                    <w:bottom w:val="single" w:color="000000" w:sz="4"/>
                    <w:right w:val="single" w:color="000000" w:sz="4"/>
                  </w:tcBorders>
                  <w:vAlign w:val="top"/>
                </w:tcPr>
                <w:p>
                  <w:pPr>
                    <w:jc w:val="center"/>
                  </w:pPr>
                  <w:r>
                    <w:rPr>
                      <w:sz w:val="24"/>
                    </w:rPr>
                    <w:t>包括转介医疗、护理、康复、法律援助、社工服务、义工服务、入住养老机构等服务。</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center"/>
                  </w:pPr>
                </w:p>
              </w:tc>
              <w:tc>
                <w:tcPr>
                  <w:tcW w:type="dxa" w:w="732"/>
                  <w:tcBorders>
                    <w:top w:val="none" w:color="000000" w:sz="4"/>
                    <w:left w:val="single" w:color="000000" w:sz="4"/>
                    <w:bottom w:val="single" w:color="000000" w:sz="4"/>
                    <w:right w:val="single" w:color="000000" w:sz="4"/>
                  </w:tcBorders>
                  <w:vAlign w:val="top"/>
                </w:tcPr>
                <w:p>
                  <w:pPr>
                    <w:jc w:val="both"/>
                  </w:pPr>
                  <w:r>
                    <w:rPr>
                      <w:sz w:val="24"/>
                    </w:rPr>
                    <w:t>按照对象所需要提供服务。</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日间托管</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助餐配餐</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午餐、晚餐</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1000</w:t>
                  </w:r>
                </w:p>
              </w:tc>
              <w:tc>
                <w:tcPr>
                  <w:tcW w:type="dxa" w:w="732"/>
                  <w:vMerge w:val="restart"/>
                  <w:tcBorders>
                    <w:top w:val="none" w:color="000000" w:sz="4"/>
                    <w:left w:val="single" w:color="000000" w:sz="4"/>
                    <w:bottom w:val="single" w:color="000000" w:sz="4"/>
                    <w:right w:val="single" w:color="000000" w:sz="4"/>
                  </w:tcBorders>
                  <w:vAlign w:val="top"/>
                </w:tcPr>
                <w:p>
                  <w:pPr>
                    <w:jc w:val="left"/>
                  </w:pPr>
                  <w:r>
                    <w:rPr>
                      <w:sz w:val="24"/>
                    </w:rPr>
                    <w:t>按照服务对象所需选项，</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健康管理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使用中心器械：步行器、固定单车、手臂清轮、平衡杠、肋木、扶梯、手指训练器等器械开展康复或保健训练。</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文化娱乐</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棋牌、歌舞、打球、绘画、看书、兴趣学习等。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午间休息</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提供床位</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临时托养</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个人护理</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晨间护理：晚间护理；皮肤外用药物涂擦；留置尿管护理：人工肛门便袋护理；协助穿（脱）衣；洗头；洗脸；梳头；剃须；刷牙；漱口；口腔清洁；洗手；洗足；洗澡；床上；擦浴；女性会阴清洁；修剪指（趾）甲；褥疮预防；叩背排痰等。</w:t>
                  </w:r>
                </w:p>
              </w:tc>
              <w:tc>
                <w:tcPr>
                  <w:tcW w:type="dxa" w:w="533"/>
                  <w:vMerge w:val="restart"/>
                  <w:tcBorders>
                    <w:top w:val="none" w:color="000000" w:sz="4"/>
                    <w:left w:val="single" w:color="000000" w:sz="4"/>
                    <w:bottom w:val="single" w:color="000000" w:sz="4"/>
                    <w:right w:val="single" w:color="000000" w:sz="4"/>
                  </w:tcBorders>
                  <w:vAlign w:val="top"/>
                </w:tcPr>
                <w:p>
                  <w:pPr>
                    <w:jc w:val="center"/>
                  </w:pPr>
                  <w:r>
                    <w:rPr>
                      <w:sz w:val="24"/>
                    </w:rPr>
                    <w:t>工时</w:t>
                  </w:r>
                </w:p>
              </w:tc>
              <w:tc>
                <w:tcPr>
                  <w:tcW w:type="dxa" w:w="732"/>
                  <w:vMerge w:val="restart"/>
                  <w:tcBorders>
                    <w:top w:val="none" w:color="000000" w:sz="4"/>
                    <w:left w:val="single" w:color="000000" w:sz="4"/>
                    <w:bottom w:val="single" w:color="000000" w:sz="4"/>
                    <w:right w:val="single" w:color="000000" w:sz="4"/>
                  </w:tcBorders>
                  <w:vAlign w:val="top"/>
                </w:tcPr>
                <w:p>
                  <w:pPr>
                    <w:jc w:val="center"/>
                  </w:pPr>
                  <w:r>
                    <w:rPr>
                      <w:sz w:val="24"/>
                    </w:rPr>
                    <w:t>575</w:t>
                  </w:r>
                </w:p>
              </w:tc>
              <w:tc>
                <w:tcPr>
                  <w:tcW w:type="dxa" w:w="732"/>
                  <w:vMerge w:val="restart"/>
                  <w:tcBorders>
                    <w:top w:val="none" w:color="000000" w:sz="4"/>
                    <w:left w:val="single" w:color="000000" w:sz="4"/>
                    <w:bottom w:val="single" w:color="000000" w:sz="4"/>
                    <w:right w:val="single" w:color="000000" w:sz="4"/>
                  </w:tcBorders>
                  <w:vAlign w:val="top"/>
                </w:tcPr>
                <w:p>
                  <w:pPr>
                    <w:jc w:val="both"/>
                  </w:pP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康复训练</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使用中心机械：步行器、固定单车、手臂滑轮、平衡杠、肋木、扶梯、手指训练器等器械开展的康复或训练。</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文化娱乐</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棋牌、歌舞、打球、绘画、看书、兴趣学习等。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医疗保健</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体温、心率、血压、血糖监测、健康操运动、用药等。</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夜间住宿</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提供床位。</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center"/>
                  </w:pPr>
                  <w:r>
                    <w:rPr>
                      <w:sz w:val="24"/>
                    </w:rPr>
                    <w:t>提供床位数</w:t>
                  </w:r>
                  <w:r>
                    <w:rPr>
                      <w:sz w:val="24"/>
                    </w:rPr>
                    <w:t>10张</w:t>
                  </w:r>
                </w:p>
              </w:tc>
              <w:tc>
                <w:tcPr>
                  <w:tcW w:type="dxa" w:w="732"/>
                  <w:tcBorders>
                    <w:top w:val="none" w:color="000000" w:sz="4"/>
                    <w:left w:val="single" w:color="000000" w:sz="4"/>
                    <w:bottom w:val="single" w:color="000000" w:sz="4"/>
                    <w:right w:val="single" w:color="000000" w:sz="4"/>
                  </w:tcBorders>
                  <w:vAlign w:val="top"/>
                </w:tcPr>
                <w:p>
                  <w:pPr>
                    <w:jc w:val="both"/>
                  </w:pPr>
                  <w:r>
                    <w:rPr>
                      <w:sz w:val="24"/>
                    </w:rPr>
                    <w:t>为有需求的长者提供服务，不下达任务指标数量。</w:t>
                  </w:r>
                </w:p>
              </w:tc>
            </w:tr>
            <w:tr>
              <w:tc>
                <w:tcPr>
                  <w:tcW w:type="dxa" w:w="271"/>
                  <w:vMerge w:val="restart"/>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4"/>
                    </w:rPr>
                    <w:t>宣传服务</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养老服务向导</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养老政策咨询、服务查询、办事指引、服务转介等服务。居家服务推介会。</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场</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每半年举办</w:t>
                  </w:r>
                  <w:r>
                    <w:rPr>
                      <w:sz w:val="24"/>
                    </w:rPr>
                    <w:t>1场居家养老服务推介会，共2场。其他服务按照实际开展。</w:t>
                  </w:r>
                </w:p>
              </w:tc>
              <w:tc>
                <w:tcPr>
                  <w:tcW w:type="dxa" w:w="732"/>
                  <w:vMerge w:val="restart"/>
                  <w:tcBorders>
                    <w:top w:val="none" w:color="000000" w:sz="4"/>
                    <w:left w:val="single" w:color="000000" w:sz="4"/>
                    <w:bottom w:val="single" w:color="000000" w:sz="4"/>
                    <w:right w:val="single" w:color="000000" w:sz="4"/>
                  </w:tcBorders>
                  <w:vAlign w:val="top"/>
                </w:tcPr>
                <w:p>
                  <w:pPr>
                    <w:jc w:val="both"/>
                  </w:pPr>
                  <w:r>
                    <w:rPr>
                      <w:sz w:val="24"/>
                    </w:rPr>
                    <w:t>居家政策服务宣传和消防安全宣传等经费由服务机构提供。</w:t>
                  </w:r>
                </w:p>
              </w:tc>
            </w:tr>
            <w:tr>
              <w:tc>
                <w:tcPr>
                  <w:tcW w:type="dxa" w:w="27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vAlign w:val="top"/>
                </w:tcPr>
                <w:p>
                  <w:pPr>
                    <w:jc w:val="center"/>
                  </w:pPr>
                  <w:r>
                    <w:rPr>
                      <w:sz w:val="24"/>
                    </w:rPr>
                    <w:t>消防安全教育宣传</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消防培训（长者和工作人员参与）、消防演练（长者和工作人员参与）。</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场</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每半年举办</w:t>
                  </w:r>
                  <w:r>
                    <w:rPr>
                      <w:sz w:val="24"/>
                    </w:rPr>
                    <w:t>1场，共2场。</w:t>
                  </w:r>
                </w:p>
              </w:tc>
            </w:tr>
            <w:tr>
              <w:tc>
                <w:tcPr>
                  <w:tcW w:type="dxa" w:w="271"/>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461"/>
                  <w:tcBorders>
                    <w:top w:val="none" w:color="000000" w:sz="4"/>
                    <w:left w:val="single" w:color="000000" w:sz="4"/>
                    <w:bottom w:val="single" w:color="000000" w:sz="4"/>
                    <w:right w:val="single" w:color="000000" w:sz="4"/>
                  </w:tcBorders>
                  <w:vAlign w:val="top"/>
                </w:tcPr>
                <w:p>
                  <w:pPr>
                    <w:jc w:val="center"/>
                  </w:pPr>
                  <w:r>
                    <w:rPr>
                      <w:sz w:val="24"/>
                    </w:rPr>
                    <w:t>定期巡访</w:t>
                  </w:r>
                </w:p>
              </w:tc>
              <w:tc>
                <w:tcPr>
                  <w:tcW w:type="dxa" w:w="470"/>
                  <w:tcBorders>
                    <w:top w:val="none" w:color="000000" w:sz="4"/>
                    <w:left w:val="single" w:color="000000" w:sz="4"/>
                    <w:bottom w:val="single" w:color="000000" w:sz="4"/>
                    <w:right w:val="single" w:color="000000" w:sz="4"/>
                  </w:tcBorders>
                  <w:vAlign w:val="top"/>
                </w:tcPr>
                <w:p>
                  <w:pPr>
                    <w:jc w:val="center"/>
                  </w:pPr>
                  <w:r>
                    <w:rPr>
                      <w:sz w:val="24"/>
                    </w:rPr>
                    <w:t>建立巡访制度</w:t>
                  </w:r>
                </w:p>
              </w:tc>
              <w:tc>
                <w:tcPr>
                  <w:tcW w:type="dxa" w:w="2378"/>
                  <w:tcBorders>
                    <w:top w:val="none" w:color="000000" w:sz="4"/>
                    <w:left w:val="single" w:color="000000" w:sz="4"/>
                    <w:bottom w:val="single" w:color="000000" w:sz="4"/>
                    <w:right w:val="single" w:color="000000" w:sz="4"/>
                  </w:tcBorders>
                  <w:vAlign w:val="top"/>
                </w:tcPr>
                <w:p>
                  <w:pPr>
                    <w:jc w:val="both"/>
                  </w:pPr>
                  <w:r>
                    <w:rPr>
                      <w:sz w:val="24"/>
                    </w:rPr>
                    <w:t>采取上门探视、电话询访等方式，定期对辖区内空巢（独居），农村留守计划生育特殊家庭，仅与重度残疾子女共居住、分散供养特困、失能且事实无人照顾等老年人的生活状况进行巡访。</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每周开展定期</w:t>
                  </w:r>
                  <w:r>
                    <w:rPr>
                      <w:sz w:val="24"/>
                    </w:rPr>
                    <w:t>4次以上。</w:t>
                  </w:r>
                </w:p>
              </w:tc>
              <w:tc>
                <w:tcPr>
                  <w:tcW w:type="dxa" w:w="732"/>
                  <w:tcBorders>
                    <w:top w:val="none" w:color="000000" w:sz="4"/>
                    <w:left w:val="single" w:color="000000" w:sz="4"/>
                    <w:bottom w:val="single" w:color="000000" w:sz="4"/>
                    <w:right w:val="single" w:color="000000" w:sz="4"/>
                  </w:tcBorders>
                  <w:vAlign w:val="top"/>
                </w:tcPr>
                <w:p>
                  <w:pPr>
                    <w:jc w:val="both"/>
                  </w:pPr>
                </w:p>
              </w:tc>
            </w:tr>
            <w:tr>
              <w:tc>
                <w:tcPr>
                  <w:tcW w:type="dxa" w:w="271"/>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461"/>
                  <w:tcBorders>
                    <w:top w:val="none" w:color="000000" w:sz="4"/>
                    <w:left w:val="single" w:color="000000" w:sz="4"/>
                    <w:bottom w:val="single" w:color="000000" w:sz="4"/>
                    <w:right w:val="single" w:color="000000" w:sz="4"/>
                  </w:tcBorders>
                  <w:vAlign w:val="top"/>
                </w:tcPr>
                <w:p>
                  <w:pPr>
                    <w:jc w:val="center"/>
                  </w:pPr>
                  <w:r>
                    <w:rPr>
                      <w:sz w:val="24"/>
                    </w:rPr>
                    <w:t>家庭照护培训</w:t>
                  </w:r>
                </w:p>
              </w:tc>
              <w:tc>
                <w:tcPr>
                  <w:tcW w:type="dxa" w:w="470"/>
                  <w:tcBorders>
                    <w:top w:val="none" w:color="000000" w:sz="4"/>
                    <w:left w:val="single" w:color="000000" w:sz="4"/>
                    <w:bottom w:val="single" w:color="000000" w:sz="4"/>
                    <w:right w:val="single" w:color="000000" w:sz="4"/>
                  </w:tcBorders>
                  <w:vAlign w:val="top"/>
                </w:tcPr>
                <w:p>
                  <w:pPr>
                    <w:jc w:val="center"/>
                  </w:pPr>
                </w:p>
              </w:tc>
              <w:tc>
                <w:tcPr>
                  <w:tcW w:type="dxa" w:w="2378"/>
                  <w:tcBorders>
                    <w:top w:val="none" w:color="000000" w:sz="4"/>
                    <w:left w:val="single" w:color="000000" w:sz="4"/>
                    <w:bottom w:val="single" w:color="000000" w:sz="4"/>
                    <w:right w:val="single" w:color="000000" w:sz="4"/>
                  </w:tcBorders>
                  <w:vAlign w:val="top"/>
                </w:tcPr>
                <w:p>
                  <w:pPr>
                    <w:jc w:val="both"/>
                  </w:pPr>
                  <w:r>
                    <w:rPr>
                      <w:sz w:val="24"/>
                    </w:rPr>
                    <w:t>培训内容：家居清洁卫生、饮食照料、排泄照料、安全保护等</w:t>
                  </w:r>
                  <w:r>
                    <w:rPr>
                      <w:sz w:val="24"/>
                    </w:rPr>
                    <w:t>4大操作技能实战学习。提高家政服务员（家庭照护员）的照护技能培训，减轻照护人员的照护负担，提高失能半失能（失智）老年人的生活质量。</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both"/>
                  </w:pPr>
                  <w:r>
                    <w:rPr>
                      <w:sz w:val="24"/>
                    </w:rPr>
                    <w:t>每月开展</w:t>
                  </w:r>
                  <w:r>
                    <w:rPr>
                      <w:sz w:val="24"/>
                    </w:rPr>
                    <w:t>1次以上。</w:t>
                  </w:r>
                </w:p>
              </w:tc>
              <w:tc>
                <w:tcPr>
                  <w:tcW w:type="dxa" w:w="732"/>
                  <w:tcBorders>
                    <w:top w:val="none" w:color="000000" w:sz="4"/>
                    <w:left w:val="single" w:color="000000" w:sz="4"/>
                    <w:bottom w:val="single" w:color="000000" w:sz="4"/>
                    <w:right w:val="single" w:color="000000" w:sz="4"/>
                  </w:tcBorders>
                  <w:vAlign w:val="top"/>
                </w:tcPr>
                <w:p>
                  <w:pPr>
                    <w:jc w:val="both"/>
                  </w:pPr>
                </w:p>
              </w:tc>
            </w:tr>
            <w:tr>
              <w:tc>
                <w:tcPr>
                  <w:tcW w:type="dxa" w:w="271"/>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461"/>
                  <w:tcBorders>
                    <w:top w:val="none" w:color="000000" w:sz="4"/>
                    <w:left w:val="single" w:color="000000" w:sz="4"/>
                    <w:bottom w:val="single" w:color="000000" w:sz="4"/>
                    <w:right w:val="single" w:color="000000" w:sz="4"/>
                  </w:tcBorders>
                  <w:vAlign w:val="top"/>
                </w:tcPr>
                <w:p>
                  <w:pPr>
                    <w:jc w:val="center"/>
                  </w:pPr>
                  <w:r>
                    <w:rPr>
                      <w:sz w:val="24"/>
                    </w:rPr>
                    <w:t>家庭养老床位</w:t>
                  </w:r>
                </w:p>
              </w:tc>
              <w:tc>
                <w:tcPr>
                  <w:tcW w:type="dxa" w:w="470"/>
                  <w:tcBorders>
                    <w:top w:val="none" w:color="000000" w:sz="4"/>
                    <w:left w:val="single" w:color="000000" w:sz="4"/>
                    <w:bottom w:val="single" w:color="000000" w:sz="4"/>
                    <w:right w:val="single" w:color="000000" w:sz="4"/>
                  </w:tcBorders>
                  <w:vAlign w:val="top"/>
                </w:tcPr>
                <w:p>
                  <w:pPr>
                    <w:jc w:val="center"/>
                  </w:pPr>
                </w:p>
              </w:tc>
              <w:tc>
                <w:tcPr>
                  <w:tcW w:type="dxa" w:w="2378"/>
                  <w:tcBorders>
                    <w:top w:val="none" w:color="000000" w:sz="4"/>
                    <w:left w:val="single" w:color="000000" w:sz="4"/>
                    <w:bottom w:val="single" w:color="000000" w:sz="4"/>
                    <w:right w:val="single" w:color="000000" w:sz="4"/>
                  </w:tcBorders>
                  <w:vAlign w:val="top"/>
                </w:tcPr>
                <w:p>
                  <w:pPr>
                    <w:jc w:val="both"/>
                  </w:pPr>
                  <w:r>
                    <w:rPr>
                      <w:color w:val="191919"/>
                      <w:sz w:val="24"/>
                    </w:rPr>
                    <w:t>为老年人的居住环境和生活空间进行必要的适老化与智能化家居改造，在家中设置具备机构化服务功能的床位，根据其意愿和需求提供与床位相配套的全天候、全方位、全人长期照顾服务。</w:t>
                  </w:r>
                </w:p>
              </w:tc>
              <w:tc>
                <w:tcPr>
                  <w:tcW w:type="dxa" w:w="533"/>
                  <w:tcBorders>
                    <w:top w:val="none" w:color="000000" w:sz="4"/>
                    <w:left w:val="single" w:color="000000" w:sz="4"/>
                    <w:bottom w:val="single" w:color="000000" w:sz="4"/>
                    <w:right w:val="single" w:color="000000" w:sz="4"/>
                  </w:tcBorders>
                  <w:vAlign w:val="top"/>
                </w:tcPr>
                <w:p>
                  <w:pPr>
                    <w:jc w:val="center"/>
                  </w:pPr>
                  <w:r>
                    <w:rPr>
                      <w:sz w:val="24"/>
                    </w:rPr>
                    <w:t>提供</w:t>
                  </w:r>
                </w:p>
              </w:tc>
              <w:tc>
                <w:tcPr>
                  <w:tcW w:type="dxa" w:w="732"/>
                  <w:tcBorders>
                    <w:top w:val="none" w:color="000000" w:sz="4"/>
                    <w:left w:val="single" w:color="000000" w:sz="4"/>
                    <w:bottom w:val="single" w:color="000000" w:sz="4"/>
                    <w:right w:val="single" w:color="000000" w:sz="4"/>
                  </w:tcBorders>
                  <w:vAlign w:val="top"/>
                </w:tcPr>
                <w:p>
                  <w:pPr>
                    <w:jc w:val="both"/>
                  </w:pPr>
                </w:p>
              </w:tc>
              <w:tc>
                <w:tcPr>
                  <w:tcW w:type="dxa" w:w="732"/>
                  <w:tcBorders>
                    <w:top w:val="none" w:color="000000" w:sz="4"/>
                    <w:left w:val="single" w:color="000000" w:sz="4"/>
                    <w:bottom w:val="single" w:color="000000" w:sz="4"/>
                    <w:right w:val="single" w:color="000000" w:sz="4"/>
                  </w:tcBorders>
                  <w:vAlign w:val="top"/>
                </w:tcPr>
                <w:p>
                  <w:pPr>
                    <w:jc w:val="both"/>
                  </w:pPr>
                </w:p>
              </w:tc>
            </w:tr>
          </w:tbl>
          <w:p>
            <w:pPr>
              <w:ind w:firstLine="631"/>
              <w:jc w:val="both"/>
            </w:pPr>
            <w:r>
              <w:rPr>
                <w:b/>
                <w:sz w:val="24"/>
              </w:rPr>
              <w:t>三、服务机构和人员要求</w:t>
            </w:r>
          </w:p>
          <w:p>
            <w:pPr>
              <w:ind w:firstLine="631"/>
              <w:jc w:val="both"/>
            </w:pPr>
            <w:r>
              <w:rPr>
                <w:b/>
                <w:sz w:val="24"/>
              </w:rPr>
              <w:t>（一）服务机构要求</w:t>
            </w:r>
          </w:p>
          <w:p>
            <w:pPr>
              <w:ind w:firstLine="480"/>
              <w:jc w:val="both"/>
            </w:pPr>
            <w:r>
              <w:rPr>
                <w:sz w:val="24"/>
              </w:rPr>
              <w:t>★1.服务机构统一纳入广州市居家养老综合服务平台供应商库，接受政府部门的监督管理，按照政府的要求开展服务。</w:t>
            </w:r>
            <w:r>
              <w:rPr>
                <w:b/>
                <w:sz w:val="24"/>
                <w:u w:val="single"/>
              </w:rPr>
              <w:t>供应商必须是具有独立承担民事责任能力的中华人民共和国境内注册的法人、事业单位或其他组织。提供食品、医疗服务的，应依法取得相应资质许可；提供机构养老服务的，应依法办理备案</w:t>
            </w:r>
            <w:r>
              <w:rPr>
                <w:b/>
                <w:sz w:val="24"/>
              </w:rPr>
              <w:t>。</w:t>
            </w:r>
          </w:p>
          <w:p>
            <w:pPr>
              <w:ind w:firstLine="480"/>
              <w:jc w:val="both"/>
            </w:pPr>
            <w:r>
              <w:rPr>
                <w:sz w:val="24"/>
              </w:rPr>
              <w:t>2.按照合同等约定履行提供服务的义务，认真组织实施项目，按时完成项目任务，保证服务数量、质量和效果，主动接受有关部门、服务对象及社会监督、严禁服务机构将服务项目交由其他服务供应机构实际承担的转包行为。</w:t>
            </w:r>
          </w:p>
          <w:p>
            <w:pPr>
              <w:ind w:firstLine="480"/>
              <w:jc w:val="both"/>
            </w:pPr>
            <w:r>
              <w:rPr>
                <w:sz w:val="24"/>
              </w:rPr>
              <w:t>3.严格按照合同等约定使用服务设施，严禁擅自改变服务设施功能和用途，主动接受政府部门管理和指导，认真落实消防、环保、卫生、安全管理等相关法律法规要求，购买场所责任保险。</w:t>
            </w:r>
          </w:p>
          <w:p>
            <w:pPr>
              <w:ind w:firstLine="480"/>
              <w:jc w:val="both"/>
            </w:pPr>
            <w:r>
              <w:rPr>
                <w:sz w:val="24"/>
              </w:rPr>
              <w:t>★4.提供医疗服务的应获得医疗机构执业许可证或合作方合约及医疗机构执业证，提供餐饮服务的应获得食品经营许可证或合作方合约及食品经营许可证。</w:t>
            </w:r>
          </w:p>
          <w:p>
            <w:pPr>
              <w:ind w:firstLine="480"/>
              <w:jc w:val="both"/>
            </w:pPr>
            <w:r>
              <w:rPr>
                <w:sz w:val="24"/>
              </w:rPr>
              <w:t>5.能有效管理社区居家养老服务相关文件和档案，真实完整记录并及时更新服务对象信息，保护个人信息安全，与服务对象的服务协议签约率及建档率达100%。</w:t>
            </w:r>
          </w:p>
          <w:p>
            <w:pPr>
              <w:ind w:firstLine="480"/>
              <w:jc w:val="both"/>
            </w:pPr>
            <w:r>
              <w:rPr>
                <w:sz w:val="24"/>
              </w:rPr>
              <w:t>6.具有合理、详细的项目经费使用计划和预算明细，严格遵守相关财政规定，加强自身监督，确保政府购买服务项目资金规范管理和使用，并按要求及时向政府部门提供资金的使用情况，项目执行情况、成果总结等材料。</w:t>
            </w:r>
          </w:p>
          <w:p>
            <w:pPr>
              <w:ind w:firstLine="480"/>
              <w:jc w:val="both"/>
            </w:pPr>
            <w:r>
              <w:rPr>
                <w:sz w:val="24"/>
              </w:rPr>
              <w:t>7.建立服务风险防范制度，为工作人员购买人身意外保险。</w:t>
            </w:r>
          </w:p>
          <w:p>
            <w:pPr>
              <w:ind w:firstLine="480"/>
              <w:jc w:val="both"/>
            </w:pPr>
            <w:r>
              <w:rPr>
                <w:sz w:val="24"/>
              </w:rPr>
              <w:t>8.建立完善的规章制度和工作流程，包括财务、人事、运营、公共安全、卫生、资产、服务等方面的管理制度和应急措施。</w:t>
            </w:r>
          </w:p>
          <w:p>
            <w:pPr>
              <w:ind w:firstLine="480"/>
              <w:jc w:val="both"/>
            </w:pPr>
            <w:r>
              <w:rPr>
                <w:sz w:val="24"/>
              </w:rPr>
              <w:t>9.应配备具有财会专业教育背景或持有财会职业资格证书的人员管理财务。</w:t>
            </w:r>
          </w:p>
          <w:p>
            <w:pPr>
              <w:jc w:val="both"/>
            </w:pPr>
            <w:r>
              <w:rPr>
                <w:b/>
                <w:sz w:val="24"/>
              </w:rPr>
              <w:t xml:space="preserve">    （二）人员要求</w:t>
            </w:r>
          </w:p>
          <w:p>
            <w:pPr>
              <w:ind w:firstLine="480"/>
              <w:jc w:val="both"/>
            </w:pPr>
            <w:r>
              <w:rPr>
                <w:sz w:val="24"/>
              </w:rPr>
              <w:t>★</w:t>
            </w:r>
            <w:r>
              <w:rPr>
                <w:color w:val="000000"/>
                <w:sz w:val="24"/>
              </w:rPr>
              <w:t>1.供应商应为本项目配备专职项目负责人1名（具有中级社会工作师资格证，有3年以上养老服务管理工作经验）,专职养老管理员1人（具有初级社会工作师，大专以上学历，35周岁以下，2年以上养老管理经验），专职社会工作师1人（具有初级社会工作师），专职助餐配餐员1人（大专或以上学历），专职执业护士1人，兼职执业医疗1人、执业康复治疗师1人，合作医疗机构可委派人员。兼职养老督导员1人，兼职养老护理员1人（应具备养老护理从业资格，与资助对象的配备比例不低于1：50），兼职营养师1名。</w:t>
            </w:r>
          </w:p>
          <w:p>
            <w:pPr>
              <w:ind w:firstLine="480"/>
              <w:jc w:val="both"/>
            </w:pPr>
            <w:r>
              <w:rPr>
                <w:sz w:val="24"/>
              </w:rPr>
              <w:t>服务机构承诺在服务期内必须保证投入的工作人员数量不能减少，服务期中如在人事变动问题，必须保证能达到投标时承诺投入的人员。要求专职人员在工作日按时在岗，不得在服务期中途调离专职管理人员，兼职人员必须每周安排</w:t>
            </w:r>
            <w:r>
              <w:rPr>
                <w:sz w:val="24"/>
              </w:rPr>
              <w:t>3天以上到服务站坐班，每天工作时间不少于8小时。</w:t>
            </w:r>
          </w:p>
          <w:p>
            <w:pPr>
              <w:ind w:firstLine="480"/>
              <w:jc w:val="both"/>
            </w:pPr>
            <w:r>
              <w:rPr>
                <w:sz w:val="24"/>
              </w:rPr>
              <w:t>2.项目负责人，负责统筹本项目的全面管理运营工作。</w:t>
            </w:r>
          </w:p>
          <w:p>
            <w:pPr>
              <w:ind w:firstLine="480"/>
              <w:jc w:val="both"/>
            </w:pPr>
            <w:r>
              <w:rPr>
                <w:sz w:val="24"/>
              </w:rPr>
              <w:t>3.养老管理员，负责本辖区内居家社区养老服务的组织实施，设施建设与管理、服务开展、居家社区养老服务申请受理、资助资格核实、资金申请、资助资金清算、以及服务情况跟踪等具体事务，驻点街道公共服务办公室。</w:t>
            </w:r>
          </w:p>
          <w:p>
            <w:pPr>
              <w:ind w:firstLine="480"/>
              <w:jc w:val="both"/>
            </w:pPr>
            <w:r>
              <w:rPr>
                <w:sz w:val="24"/>
              </w:rPr>
              <w:t>4.提供助餐配餐服务的人员，负责长者饭堂的管理工作和日常工作。配备1名营养师（兼职），制定长者的饭菜餐单，以及提供营养咨询服务。</w:t>
            </w:r>
          </w:p>
          <w:p>
            <w:pPr>
              <w:ind w:firstLine="480"/>
              <w:jc w:val="both"/>
            </w:pPr>
            <w:r>
              <w:rPr>
                <w:sz w:val="24"/>
              </w:rPr>
              <w:t>5.提供上门生活照料服务的，保障上门服务人员与服务对象的比例不低于1：10。养老护理员必须持有养老护理员专项证书或岗前培训证书，承接服务机构出现上门服务人员不足时，应及时补充服务人员，确保上门服务人员配备充足。</w:t>
            </w:r>
          </w:p>
          <w:p>
            <w:pPr>
              <w:ind w:firstLine="480"/>
              <w:jc w:val="both"/>
            </w:pPr>
            <w:r>
              <w:rPr>
                <w:sz w:val="24"/>
              </w:rPr>
              <w:t>6.提供康复护理服务的，护理人员与服务对象的配备比例不低于1：10，护理人员应具备有护理、康复治疗专业技术教育前景或从业资格。</w:t>
            </w:r>
          </w:p>
          <w:p>
            <w:pPr>
              <w:ind w:firstLine="480"/>
              <w:jc w:val="both"/>
            </w:pPr>
            <w:r>
              <w:rPr>
                <w:sz w:val="24"/>
              </w:rPr>
              <w:t>7.医疗保健类服务人员应配备执业医生、执业护士、康复治疗师等专业人员证件。若服务机构在医护人员不具备专业医疗技术人才，可与具备医疗资质的企业或服务机构合作方，提供专业医疗专业技术人员。</w:t>
            </w:r>
          </w:p>
          <w:p>
            <w:pPr>
              <w:ind w:firstLine="480"/>
              <w:jc w:val="both"/>
            </w:pPr>
            <w:r>
              <w:rPr>
                <w:sz w:val="24"/>
              </w:rPr>
              <w:t>8.要求聘用具有养老经验的督导员1名，每周为该项目的工作人员进行服务督导培训，指导各项服务的开展。</w:t>
            </w:r>
          </w:p>
          <w:p>
            <w:pPr>
              <w:ind w:firstLine="480"/>
              <w:jc w:val="both"/>
            </w:pPr>
            <w:r>
              <w:rPr>
                <w:sz w:val="24"/>
              </w:rPr>
              <w:t>9.服务机构应保证服务人员上岗前接受不少于10学时的岗前培训。</w:t>
            </w:r>
          </w:p>
          <w:p>
            <w:pPr>
              <w:jc w:val="both"/>
            </w:pPr>
            <w:r>
              <w:rPr>
                <w:b/>
                <w:sz w:val="24"/>
              </w:rPr>
              <w:t xml:space="preserve">   （三）服务要求</w:t>
            </w:r>
          </w:p>
          <w:p>
            <w:pPr>
              <w:ind w:firstLine="480"/>
              <w:jc w:val="both"/>
            </w:pPr>
            <w:r>
              <w:rPr>
                <w:sz w:val="24"/>
              </w:rPr>
              <w:t>1.严格按照《广州市社区居家养老服务管理办法》和广州市地方标准《社区居家养老服务规范》的要求开展服务。</w:t>
            </w:r>
          </w:p>
          <w:p>
            <w:pPr>
              <w:ind w:firstLine="480"/>
              <w:jc w:val="left"/>
            </w:pPr>
            <w:r>
              <w:rPr>
                <w:sz w:val="24"/>
              </w:rPr>
              <w:t>2.对</w:t>
            </w:r>
            <w:r>
              <w:rPr>
                <w:sz w:val="24"/>
              </w:rPr>
              <w:t>有需要的老年人</w:t>
            </w:r>
            <w:r>
              <w:rPr>
                <w:sz w:val="24"/>
              </w:rPr>
              <w:t>全托（含短期照料）、日托、上门服务。</w:t>
            </w:r>
          </w:p>
          <w:p>
            <w:pPr>
              <w:ind w:firstLine="480"/>
              <w:jc w:val="left"/>
            </w:pPr>
            <w:r>
              <w:rPr>
                <w:sz w:val="24"/>
              </w:rPr>
              <w:t xml:space="preserve"> </w:t>
            </w:r>
            <w:r>
              <w:rPr>
                <w:sz w:val="24"/>
              </w:rPr>
              <w:t>3.为有需要的老年人，重点是失能（失智）老年人提供覆盖全生命周期的一站式和到户式综合养老服务。</w:t>
            </w:r>
          </w:p>
          <w:p>
            <w:pPr>
              <w:ind w:firstLine="480"/>
              <w:jc w:val="both"/>
            </w:pPr>
            <w:r>
              <w:rPr>
                <w:sz w:val="24"/>
              </w:rPr>
              <w:t>4.★助餐配餐服务。在提供助餐配餐（长者饭堂运营）服务项目，采购人要求供应商配备一辆四轮电动的送餐车，在签订合同或委托协议后，30天配备到位。统筹设置养老机构食堂和长者饭堂，为全托、日托和周边社区老年人提供助餐配餐服务。</w:t>
            </w:r>
          </w:p>
          <w:p>
            <w:pPr>
              <w:ind w:firstLine="480"/>
              <w:jc w:val="left"/>
            </w:pPr>
            <w:r>
              <w:rPr>
                <w:sz w:val="24"/>
              </w:rPr>
              <w:t>5.医康养结合服务。设置独立法人的护理站或与周边护理站合作，提供基础护理、专科护理、消毒隔离技术指导、营养指导、社区康复指导、健康宣教和其他护理服务；设立医务室或与周边医疗机构合作，提供健康管理、转诊转介、预防保健等基本服务，依法提供上门和对外服务；为医疗机构术后康复期内的老年人提供康复照护服务；有条件的，应当设置认知症照护专区。</w:t>
            </w:r>
          </w:p>
          <w:p>
            <w:pPr>
              <w:ind w:firstLine="480"/>
              <w:jc w:val="left"/>
            </w:pPr>
            <w:r>
              <w:rPr>
                <w:sz w:val="24"/>
              </w:rPr>
              <w:t>6.家政养老服务。强化与羊城家政基层服务站功能互补、服务转介，为全托、日托和周边社区居家老年人提供生活照料、家居清洁、衣被清洗、代购、助医、助药、助浴、陪护等养老服务，拓展服务项目，优化服务内容，提升服务质量。</w:t>
            </w:r>
          </w:p>
          <w:p>
            <w:pPr>
              <w:ind w:firstLine="480"/>
              <w:jc w:val="left"/>
            </w:pPr>
            <w:r>
              <w:rPr>
                <w:sz w:val="24"/>
              </w:rPr>
              <w:t>7.居家适老化服务。以满足老年人居家生活照料、起居行走、康复护理等需求为核心，为有需求的居家老年人进行适老化和智能化家居改造，改善居家生活照护条件，增强居家生活设施设备安全性、便利性和舒适性，提升居家养老服务品质。</w:t>
            </w:r>
          </w:p>
          <w:p>
            <w:pPr>
              <w:ind w:firstLine="480"/>
              <w:jc w:val="left"/>
            </w:pPr>
            <w:r>
              <w:rPr>
                <w:sz w:val="24"/>
              </w:rPr>
              <w:t>8.家庭养老床位。为有专业养老服务需求的居家老年人进行必要的适老化和智能化家居改造，纳入每天24小时动态管理和远程监护，并根据需求提供紧急援助、生活照料、康复护理等与床位相配套的全天候、全方位居家照顾服务。</w:t>
            </w:r>
          </w:p>
          <w:p>
            <w:pPr>
              <w:ind w:firstLine="480"/>
              <w:jc w:val="left"/>
            </w:pPr>
            <w:r>
              <w:rPr>
                <w:sz w:val="24"/>
              </w:rPr>
              <w:t>9.智慧养老服务。在街（镇）综合养老服务中心（颐康中心）和村居颐康服务站设置为老服务综合信息平台电子设备终端，实现咨询、申请受理、资源调配、质量监管等功能。建立“平安通”运营机构与街（镇）综合养老服务中心（颐康中心）服务转介机制，为老年人提供“线上+线下”联动的专业化智慧养老服务。加强智能机器人、康复辅具等智能化养老产品用品运用，提升科技含量。依托市为老服务综合平台、市居家综合养老信息服务平台及互联网、物联网等网络手段和电子设备终端，为老人提供紧急救援、安全防范、电子围栏、烟雾报警、跌倒报警、远程照护等智慧养老服务。</w:t>
            </w:r>
          </w:p>
          <w:p>
            <w:pPr>
              <w:ind w:firstLine="480"/>
              <w:jc w:val="left"/>
            </w:pPr>
            <w:r>
              <w:rPr>
                <w:sz w:val="24"/>
              </w:rPr>
              <w:t>10.统筹指导。统筹整合辖区内各类为老服务资源，为颐康服务站等村居养老服务设施提供业务指导、人员培训、资源调配等服务；为失能老年人家属开展养老照护培训，为老年人开展居家安防等培训；定期开展护老者和老年人培训，动员社区开展邻里关怀、志愿服务，提升家庭养老功能。</w:t>
            </w:r>
          </w:p>
          <w:p>
            <w:pPr>
              <w:ind w:firstLine="480"/>
              <w:jc w:val="left"/>
            </w:pPr>
            <w:r>
              <w:rPr>
                <w:sz w:val="24"/>
              </w:rPr>
              <w:t>11.供需对接。设置咨询服务台和“养老服务向导”，为辖区老年人提供养老政策咨询、服务查询、办事指引、方案制定、服务转介等服务，发挥供需对接、服务引导等作用。</w:t>
            </w:r>
          </w:p>
          <w:p>
            <w:pPr>
              <w:ind w:firstLine="480"/>
              <w:jc w:val="left"/>
            </w:pPr>
            <w:r>
              <w:rPr>
                <w:sz w:val="24"/>
              </w:rPr>
              <w:t>12.提供辅具租赁服务。向社区老年人展示推广养老辅具等产品用品，并提供租赁服务。</w:t>
            </w:r>
          </w:p>
          <w:p>
            <w:pPr>
              <w:ind w:firstLine="480"/>
              <w:jc w:val="left"/>
            </w:pPr>
            <w:r>
              <w:rPr>
                <w:sz w:val="24"/>
              </w:rPr>
              <w:t>13.政府或者上级部门对于项目服务形式及内容有调整的，乙方应当予以落实执行。</w:t>
            </w:r>
          </w:p>
          <w:p>
            <w:pPr>
              <w:ind w:firstLine="480"/>
              <w:jc w:val="both"/>
            </w:pPr>
            <w:r>
              <w:rPr>
                <w:sz w:val="24"/>
              </w:rPr>
              <w:t>14.对辖区内老年人的服务覆盖率达到100%。</w:t>
            </w:r>
          </w:p>
          <w:p>
            <w:pPr>
              <w:ind w:firstLine="480"/>
              <w:jc w:val="both"/>
            </w:pPr>
            <w:r>
              <w:rPr>
                <w:sz w:val="24"/>
              </w:rPr>
              <w:t>15.能够根据服务对象的实际需求制订详细具体的服务方案，并做好服务记录。</w:t>
            </w:r>
          </w:p>
          <w:p>
            <w:pPr>
              <w:ind w:firstLine="480"/>
              <w:jc w:val="both"/>
            </w:pPr>
            <w:r>
              <w:rPr>
                <w:sz w:val="24"/>
              </w:rPr>
              <w:t>16.服务项目完成率达到100%，服务对象满意率达到80%及以上。</w:t>
            </w:r>
          </w:p>
          <w:p>
            <w:pPr>
              <w:ind w:firstLine="480"/>
            </w:pPr>
            <w:r>
              <w:rPr>
                <w:sz w:val="24"/>
              </w:rPr>
              <w:t>17.完成采购人下达工作任务。</w:t>
            </w:r>
          </w:p>
          <w:p>
            <w:pPr>
              <w:jc w:val="both"/>
            </w:pPr>
            <w:r>
              <w:rPr>
                <w:b/>
                <w:sz w:val="24"/>
              </w:rPr>
              <w:t xml:space="preserve">   （四）服务收费</w:t>
            </w:r>
          </w:p>
          <w:p>
            <w:pPr>
              <w:ind w:firstLine="480"/>
              <w:jc w:val="both"/>
            </w:pPr>
            <w:r>
              <w:rPr>
                <w:sz w:val="24"/>
              </w:rPr>
              <w:t>服务机构开展的服务项目费用按照《广州市社区居家养老服务项目清单与指导参考价（试行）》（穗居养老服务指导中心办〔</w:t>
            </w:r>
            <w:r>
              <w:rPr>
                <w:sz w:val="24"/>
              </w:rPr>
              <w:t>2018〕6号）的要求执行，并进行公示。</w:t>
            </w:r>
          </w:p>
          <w:p>
            <w:pPr>
              <w:ind w:firstLine="482"/>
              <w:jc w:val="both"/>
            </w:pPr>
            <w:r>
              <w:rPr>
                <w:b/>
                <w:sz w:val="24"/>
              </w:rPr>
              <w:t>四、保密要求</w:t>
            </w:r>
          </w:p>
          <w:p>
            <w:pPr>
              <w:ind w:firstLine="480"/>
              <w:jc w:val="both"/>
            </w:pPr>
            <w:r>
              <w:rPr>
                <w:sz w:val="24"/>
              </w:rPr>
              <w:t>服务机构须对本项目涉及服务对象的个人相关信息进行保密，未经服务对象或其法定监护人书面许可，不得对外披露，不得发任何形式提供给第三方，不得在参与本项目工作之外使用这些保密信息。</w:t>
            </w:r>
          </w:p>
          <w:p>
            <w:pPr>
              <w:ind w:firstLine="480"/>
              <w:jc w:val="both"/>
            </w:pPr>
            <w:r>
              <w:rPr>
                <w:sz w:val="24"/>
              </w:rPr>
              <w:t>服务机构在本项目终止后不得保留以任何形式存储的服务对象的任何信息数据，不得利用该项目的信息数据为其他的单位（包括自办单位）或项目服务。</w:t>
            </w:r>
          </w:p>
          <w:p>
            <w:pPr>
              <w:jc w:val="both"/>
            </w:pPr>
            <w:r>
              <w:rPr>
                <w:b/>
                <w:sz w:val="24"/>
              </w:rPr>
              <w:t xml:space="preserve">   五、服务评估</w:t>
            </w:r>
          </w:p>
          <w:p>
            <w:pPr>
              <w:ind w:firstLine="480"/>
              <w:jc w:val="both"/>
            </w:pPr>
            <w:r>
              <w:rPr>
                <w:sz w:val="24"/>
              </w:rPr>
              <w:t>★合同期为2年，每年一签，自双方合同签订之日起，按照上级部门的要求，每年应对服务机构进行两次评估，分为中期评估（服务期满6个月）和末期评估（服务期满评估）。服务机构在这2期评估期间，主动向采购人提交书面自评报告，由我街向区居家养老服务指导中心申请服务评估。服务评估参照服务指标表对各项指标进行评估，若上级部门对评估有新要求，按照最新要求执行。在中期和期末评估，采购人要求供应商综合得分达到70以上（含70分），综合等级为合格；各项服务评估得分为60分以上（含60分），各项服务评估为合格，供应商继续为采购人提供服务。在采购人收到评估报告之日起30天内，供应商应对各项不合格的服务项目进行服务整改，并提交书面的整改报告给采购人验收或备案，采购人可对供应商承接的各项服务评估等级不合格的予以扣减费用，每项扣款</w:t>
            </w:r>
            <w:r>
              <w:rPr>
                <w:sz w:val="24"/>
              </w:rPr>
              <w:t>3000</w:t>
            </w:r>
            <w:r>
              <w:rPr>
                <w:sz w:val="24"/>
              </w:rPr>
              <w:t>元。若供应商整改后仍然不合格的，采购人可向上级部门报告，服务单位在</w:t>
            </w:r>
            <w:r>
              <w:rPr>
                <w:sz w:val="24"/>
              </w:rPr>
              <w:t>2年内不得参与我市政府购买社区居家养老服务项目投标工作。</w:t>
            </w:r>
            <w:r>
              <w:rPr>
                <w:sz w:val="24"/>
              </w:rPr>
              <w:t>各项评估为不合格的服务项目，在每合同期的尾款中扣减。</w:t>
            </w:r>
            <w:r>
              <w:rPr>
                <w:sz w:val="24"/>
              </w:rPr>
              <w:t>每年以中期评估结果：综合得分达到70以上（含70分），综合等级为合格，可续签第二年的服务合同。</w:t>
            </w:r>
          </w:p>
          <w:p>
            <w:pPr>
              <w:jc w:val="both"/>
            </w:pPr>
            <w:r>
              <w:rPr>
                <w:b/>
                <w:sz w:val="24"/>
              </w:rPr>
              <w:t xml:space="preserve">   六、付款方式</w:t>
            </w:r>
          </w:p>
          <w:p>
            <w:pPr>
              <w:jc w:val="both"/>
            </w:pPr>
            <w:r>
              <w:rPr>
                <w:b/>
                <w:sz w:val="24"/>
              </w:rPr>
              <w:t>★（一）运营经费</w:t>
            </w:r>
          </w:p>
          <w:p>
            <w:pPr>
              <w:ind w:firstLine="480"/>
            </w:pPr>
            <w:r>
              <w:rPr>
                <w:sz w:val="24"/>
              </w:rPr>
              <w:t>本项目总经费</w:t>
            </w:r>
            <w:r>
              <w:rPr>
                <w:sz w:val="24"/>
              </w:rPr>
              <w:t>130万元，服务期2年，每年65万元，以每年一签的形式签订服务合同或委托服务协议书。第一年合同期分4次支付运营项目经费如下：</w:t>
            </w:r>
          </w:p>
          <w:p>
            <w:pPr>
              <w:ind w:firstLine="480"/>
              <w:jc w:val="both"/>
            </w:pPr>
            <w:r>
              <w:rPr>
                <w:sz w:val="24"/>
              </w:rPr>
              <w:t>第一次付款方式：</w:t>
            </w:r>
            <w:r>
              <w:rPr>
                <w:sz w:val="24"/>
              </w:rPr>
              <w:t>支付比例为合同金额的22.3%，</w:t>
            </w:r>
            <w:r>
              <w:rPr>
                <w:sz w:val="24"/>
              </w:rPr>
              <w:t>供应商从签订服务合同或委托服务协议书的服务期之日起，采购人在2022年11月底前完成支付运营项目经费人民币</w:t>
            </w:r>
            <w:r>
              <w:rPr>
                <w:sz w:val="21"/>
                <w:u w:val="single"/>
              </w:rPr>
              <w:t xml:space="preserve">    </w:t>
            </w:r>
            <w:r>
              <w:rPr>
                <w:sz w:val="24"/>
              </w:rPr>
              <w:t>元（大写：</w:t>
            </w:r>
            <w:r>
              <w:rPr>
                <w:sz w:val="21"/>
                <w:u w:val="single"/>
              </w:rPr>
              <w:t xml:space="preserve">    </w:t>
            </w:r>
            <w:r>
              <w:rPr>
                <w:sz w:val="24"/>
              </w:rPr>
              <w:t>）。</w:t>
            </w:r>
          </w:p>
          <w:p>
            <w:pPr>
              <w:ind w:firstLine="480"/>
              <w:jc w:val="both"/>
            </w:pPr>
            <w:r>
              <w:rPr>
                <w:sz w:val="24"/>
              </w:rPr>
              <w:t>第二次付款方式：</w:t>
            </w:r>
            <w:r>
              <w:rPr>
                <w:sz w:val="24"/>
              </w:rPr>
              <w:t>支付比例为合同金额的36.15%</w:t>
            </w:r>
            <w:r>
              <w:rPr>
                <w:sz w:val="24"/>
              </w:rPr>
              <w:t>，支付项目运营经费</w:t>
            </w:r>
            <w:r>
              <w:rPr>
                <w:sz w:val="21"/>
                <w:u w:val="single"/>
              </w:rPr>
              <w:t xml:space="preserve">   </w:t>
            </w:r>
            <w:r>
              <w:rPr>
                <w:sz w:val="24"/>
              </w:rPr>
              <w:t>元（大写：</w:t>
            </w:r>
            <w:r>
              <w:rPr>
                <w:sz w:val="21"/>
                <w:u w:val="single"/>
              </w:rPr>
              <w:t xml:space="preserve">    </w:t>
            </w:r>
            <w:r>
              <w:rPr>
                <w:sz w:val="24"/>
              </w:rPr>
              <w:t>）。采购人在2023年3月底前完成支付手续。</w:t>
            </w:r>
          </w:p>
          <w:p>
            <w:pPr>
              <w:ind w:firstLine="480"/>
              <w:jc w:val="both"/>
            </w:pPr>
            <w:r>
              <w:rPr>
                <w:sz w:val="24"/>
              </w:rPr>
              <w:t>第三次付款方式：</w:t>
            </w:r>
            <w:r>
              <w:rPr>
                <w:sz w:val="24"/>
              </w:rPr>
              <w:t>支付比例为合同金额的36.15%，</w:t>
            </w:r>
            <w:r>
              <w:rPr>
                <w:sz w:val="24"/>
              </w:rPr>
              <w:t>支付项目运营经费</w:t>
            </w:r>
            <w:r>
              <w:rPr>
                <w:sz w:val="21"/>
                <w:u w:val="single"/>
              </w:rPr>
              <w:t xml:space="preserve">   </w:t>
            </w:r>
            <w:r>
              <w:rPr>
                <w:sz w:val="24"/>
              </w:rPr>
              <w:t>元（大写：</w:t>
            </w:r>
            <w:r>
              <w:rPr>
                <w:sz w:val="21"/>
                <w:u w:val="single"/>
              </w:rPr>
              <w:t xml:space="preserve">    </w:t>
            </w:r>
            <w:r>
              <w:rPr>
                <w:sz w:val="24"/>
              </w:rPr>
              <w:t>）。采购人在2023年9月底前完成支付手续。</w:t>
            </w:r>
          </w:p>
          <w:p>
            <w:pPr>
              <w:ind w:firstLine="480"/>
            </w:pPr>
            <w:r>
              <w:rPr>
                <w:sz w:val="24"/>
              </w:rPr>
              <w:t>第四次付款方式：</w:t>
            </w:r>
            <w:r>
              <w:rPr>
                <w:sz w:val="24"/>
              </w:rPr>
              <w:t>支付比例为合同金额的5.4%</w:t>
            </w:r>
            <w:r>
              <w:rPr>
                <w:sz w:val="24"/>
              </w:rPr>
              <w:t>，支付项目运营经费</w:t>
            </w:r>
            <w:r>
              <w:rPr>
                <w:u w:val="single"/>
              </w:rPr>
              <w:t xml:space="preserve">   </w:t>
            </w:r>
            <w:r>
              <w:rPr>
                <w:sz w:val="24"/>
              </w:rPr>
              <w:t>元（大写：</w:t>
            </w:r>
            <w:r>
              <w:rPr>
                <w:u w:val="single"/>
              </w:rPr>
              <w:t xml:space="preserve">    </w:t>
            </w:r>
            <w:r>
              <w:rPr>
                <w:sz w:val="24"/>
              </w:rPr>
              <w:t>）。采购人在收到末期评估报告后，30个工作内办理尾款支付手续。</w:t>
            </w:r>
          </w:p>
          <w:p>
            <w:pPr>
              <w:ind w:firstLine="480"/>
              <w:jc w:val="both"/>
            </w:pPr>
            <w:r>
              <w:rPr>
                <w:sz w:val="24"/>
              </w:rPr>
              <w:t>甲方按上述约定支付费用，乙方指定</w:t>
            </w:r>
            <w:r>
              <w:rPr>
                <w:sz w:val="21"/>
                <w:u w:val="single"/>
              </w:rPr>
              <w:t xml:space="preserve">          </w:t>
            </w:r>
            <w:r>
              <w:rPr>
                <w:sz w:val="24"/>
              </w:rPr>
              <w:t>为本项目的收款单位，收款名称：</w:t>
            </w:r>
            <w:r>
              <w:rPr>
                <w:sz w:val="21"/>
                <w:u w:val="single"/>
              </w:rPr>
              <w:t xml:space="preserve">        </w:t>
            </w:r>
            <w:r>
              <w:rPr>
                <w:sz w:val="24"/>
              </w:rPr>
              <w:t>，收款账号：</w:t>
            </w:r>
            <w:r>
              <w:rPr>
                <w:sz w:val="24"/>
              </w:rPr>
              <w:t xml:space="preserve">     </w:t>
            </w:r>
            <w:r>
              <w:rPr>
                <w:sz w:val="24"/>
              </w:rPr>
              <w:t>，开户银行：</w:t>
            </w:r>
            <w:r>
              <w:rPr>
                <w:sz w:val="24"/>
              </w:rPr>
              <w:t xml:space="preserve">   </w:t>
            </w:r>
            <w:r>
              <w:rPr>
                <w:sz w:val="24"/>
              </w:rPr>
              <w:t>。乙方处理好各联合体之间的关系，乙方联合体之间、乙方与员工之间的纠纷与甲方无关。</w:t>
            </w:r>
          </w:p>
          <w:p>
            <w:pPr>
              <w:jc w:val="both"/>
            </w:pPr>
            <w:r>
              <w:rPr>
                <w:sz w:val="24"/>
              </w:rPr>
              <w:t xml:space="preserve">  （二）</w:t>
            </w:r>
            <w:r>
              <w:rPr>
                <w:b/>
                <w:sz w:val="24"/>
              </w:rPr>
              <w:t>服务对象资助经费及服务项目补助经费</w:t>
            </w:r>
          </w:p>
          <w:p>
            <w:pPr>
              <w:ind w:firstLine="480"/>
              <w:jc w:val="both"/>
            </w:pPr>
            <w:r>
              <w:rPr>
                <w:sz w:val="24"/>
              </w:rPr>
              <w:t>服务对象资助经费、服务项目补助经费等政策法规规定的其他经费，按照具体政策执行，根据实际服务情况，按合同约定方式拨付。</w:t>
            </w:r>
          </w:p>
          <w:p>
            <w:pPr>
              <w:ind w:firstLine="482"/>
              <w:jc w:val="both"/>
            </w:pPr>
            <w:r>
              <w:rPr>
                <w:b/>
                <w:sz w:val="24"/>
              </w:rPr>
              <w:t>（注：付款方式具体以签订合同及与采购人所在区相关部门规定为准。）</w:t>
            </w:r>
          </w:p>
          <w:p>
            <w:pPr>
              <w:ind w:firstLine="241"/>
              <w:jc w:val="both"/>
            </w:pPr>
            <w:r>
              <w:rPr>
                <w:b/>
                <w:sz w:val="24"/>
              </w:rPr>
              <w:t xml:space="preserve"> （三）其他事项</w:t>
            </w:r>
          </w:p>
          <w:p>
            <w:pPr>
              <w:ind w:firstLine="480"/>
              <w:jc w:val="both"/>
            </w:pPr>
            <w:r>
              <w:rPr>
                <w:sz w:val="24"/>
              </w:rPr>
              <w:t>因采购人使用的是区财政资金，采购人在前款规定的付款时间为向政府采购支付部门提出办理财政支付申请手续的时间（不含政府财政支付部门审核的时间），在规定时间内提出支付申请手续后即视为采购人已经按期支付。</w:t>
            </w:r>
          </w:p>
          <w:p>
            <w:pPr>
              <w:ind w:firstLine="482"/>
              <w:jc w:val="both"/>
            </w:pPr>
            <w:r>
              <w:rPr>
                <w:b/>
                <w:sz w:val="24"/>
              </w:rPr>
              <w:t>（注：付款方式具体以合同及采购人所在区相关部门规定为准。）</w:t>
            </w:r>
          </w:p>
          <w:p>
            <w:pPr>
              <w:ind w:firstLine="482"/>
            </w:pPr>
            <w:r>
              <w:rPr>
                <w:b/>
                <w:sz w:val="24"/>
              </w:rPr>
              <w:t>七、其他奖惩事项</w:t>
            </w:r>
          </w:p>
          <w:p>
            <w:pPr>
              <w:ind w:firstLine="482"/>
            </w:pPr>
            <w:r>
              <w:rPr>
                <w:b/>
                <w:sz w:val="24"/>
              </w:rPr>
              <w:t>（一）</w:t>
            </w:r>
            <w:r>
              <w:rPr>
                <w:sz w:val="24"/>
              </w:rPr>
              <w:t>供应商除了做好本项目服务任务外，应当服从街道下达的工作安排，并尽心尽力做好每项工作。</w:t>
            </w:r>
          </w:p>
          <w:p>
            <w:pPr>
              <w:ind w:firstLine="482"/>
            </w:pPr>
            <w:r>
              <w:rPr>
                <w:sz w:val="24"/>
              </w:rPr>
              <w:t>（三）供应商在服务期间，在运营管理、服务质量、疫情防控等工作，被上级部门或街道部门通报，每通报</w:t>
            </w:r>
            <w:r>
              <w:rPr>
                <w:sz w:val="24"/>
              </w:rPr>
              <w:t>1次在运营项目经费扣除3000元，并落实整改到位。若同类通报情况，整改后再次被通报，在运营项目经费中再扣除5000元。</w:t>
            </w:r>
          </w:p>
        </w:tc>
      </w:tr>
      <w:tr>
        <w:tc>
          <w:tcPr>
            <w:tcW w:type="dxa" w:w="2076"/>
          </w:tcPr>
          <w:p>
            <w:r>
              <w:rPr/>
              <w:t>★</w:t>
            </w:r>
          </w:p>
        </w:tc>
        <w:tc>
          <w:tcPr>
            <w:tcW w:type="dxa" w:w="415"/>
          </w:tcPr>
          <w:p>
            <w:r>
              <w:rPr/>
              <w:t>2</w:t>
            </w:r>
          </w:p>
        </w:tc>
        <w:tc>
          <w:tcPr>
            <w:tcW w:type="dxa" w:w="5814"/>
          </w:tcPr>
          <w:p>
            <w:pPr>
              <w:ind w:firstLine="480"/>
            </w:pPr>
            <w:r>
              <w:rPr/>
              <w:t xml:space="preserve"> </w:t>
            </w:r>
          </w:p>
          <w:p>
            <w:pPr>
              <w:ind w:firstLine="480"/>
            </w:pPr>
            <w:r>
              <w:rPr/>
              <w:t xml:space="preserve"> </w:t>
            </w:r>
          </w:p>
          <w:p>
            <w:pPr>
              <w:ind w:firstLine="480"/>
            </w:pPr>
            <w:r>
              <w:rPr/>
              <w:t xml:space="preserve"> </w:t>
            </w:r>
          </w:p>
          <w:p>
            <w:pPr>
              <w:ind w:firstLine="480"/>
            </w:pPr>
            <w:r>
              <w:rPr>
                <w:b/>
                <w:sz w:val="24"/>
              </w:rPr>
              <w:t>一、项目概况</w:t>
            </w:r>
          </w:p>
          <w:p>
            <w:pPr>
              <w:ind w:firstLine="480"/>
            </w:pPr>
          </w:p>
          <w:p>
            <w:pPr>
              <w:ind w:firstLine="480"/>
            </w:pPr>
            <w:r>
              <w:rPr>
                <w:sz w:val="24"/>
              </w:rPr>
              <w:t>2.</w:t>
            </w:r>
            <w:r>
              <w:rPr>
                <w:sz w:val="24"/>
              </w:rPr>
              <w:t>★</w:t>
            </w:r>
            <w:r>
              <w:rPr>
                <w:sz w:val="24"/>
              </w:rPr>
              <w:t>服务报价要求：供应商报价时应报出年度专业服务总工时，低于</w:t>
            </w:r>
            <w:r>
              <w:rPr>
                <w:b/>
                <w:sz w:val="24"/>
              </w:rPr>
              <w:t>年度最低专业服务总工时</w:t>
            </w:r>
            <w:r>
              <w:rPr>
                <w:sz w:val="24"/>
              </w:rPr>
              <w:t>以及</w:t>
            </w:r>
            <w:r>
              <w:rPr>
                <w:sz w:val="24"/>
              </w:rPr>
              <w:t>高于</w:t>
            </w:r>
            <w:r>
              <w:rPr>
                <w:b/>
                <w:sz w:val="24"/>
              </w:rPr>
              <w:t>年度最高专业服务总工时</w:t>
            </w:r>
            <w:r>
              <w:rPr>
                <w:sz w:val="24"/>
              </w:rPr>
              <w:t>的</w:t>
            </w:r>
            <w:r>
              <w:rPr>
                <w:sz w:val="24"/>
              </w:rPr>
              <w:t>报价为无效报价。</w:t>
            </w:r>
            <w:r>
              <w:rPr>
                <w:sz w:val="24"/>
              </w:rPr>
              <w:t>（提供工时报价格式自拟）</w:t>
            </w:r>
          </w:p>
          <w:p>
            <w:pPr>
              <w:ind w:firstLine="480"/>
            </w:pPr>
            <w:r>
              <w:rPr>
                <w:sz w:val="24"/>
              </w:rPr>
              <w:t>★报价时要求供应商提交项目运营经费明细表，包含所要求配备服务人员薪酬待遇（人员薪酬、五险一金、人身意外险），康复医疗服务技术支持费用，文化娱乐服务经费（详见“具体服务项目和内容”），租赁一辆四轮电动车经费、管理费用（包含办公用品、税费、招标费用、场地保险、电信资费、宽带网络资费、网络维修、场地保洁等费用）。</w:t>
            </w:r>
            <w:r>
              <w:rPr>
                <w:sz w:val="24"/>
              </w:rPr>
              <w:t>（提供运营经费明细表格式自拟）</w:t>
            </w:r>
          </w:p>
          <w:p>
            <w:pPr>
              <w:ind w:firstLine="480"/>
            </w:pPr>
            <w:r>
              <w:rPr>
                <w:sz w:val="24"/>
              </w:rPr>
              <w:t>二、</w:t>
            </w:r>
            <w:r>
              <w:rPr>
                <w:b/>
                <w:sz w:val="24"/>
              </w:rPr>
              <w:t>项目需求</w:t>
            </w:r>
          </w:p>
          <w:p>
            <w:pPr>
              <w:ind w:firstLine="480"/>
            </w:pPr>
            <w:r>
              <w:rPr>
                <w:b/>
                <w:sz w:val="24"/>
              </w:rPr>
              <w:t>（一）项目内容</w:t>
            </w:r>
          </w:p>
          <w:p>
            <w:pPr>
              <w:ind w:firstLine="480"/>
              <w:jc w:val="both"/>
            </w:pPr>
            <w:r>
              <w:rPr>
                <w:sz w:val="24"/>
              </w:rPr>
              <w:t>★根据广州市地方标准《社区居家养老服务规范》为服务区域内的老年人提供全托、康复护理、生活照料、助餐配餐、医疗保健、日间托管、临时托养（喘息服务）、精神慰藉、辅具租赁、家居改造、临终关怀、文化娱乐、紧急援助等基本养老服务，重点为有需求的失能、失智老年人提供服务。服务项目应当根据本市基本养老服务清单进行动态调整。</w:t>
            </w:r>
          </w:p>
          <w:p>
            <w:pPr>
              <w:ind w:firstLine="631"/>
              <w:jc w:val="both"/>
            </w:pPr>
            <w:r>
              <w:rPr>
                <w:b/>
                <w:sz w:val="24"/>
              </w:rPr>
              <w:t>三、服务机构和人员要求</w:t>
            </w:r>
          </w:p>
          <w:p>
            <w:pPr>
              <w:ind w:firstLine="631"/>
              <w:jc w:val="both"/>
            </w:pPr>
            <w:r>
              <w:rPr>
                <w:b/>
                <w:sz w:val="24"/>
              </w:rPr>
              <w:t>（一）服务机构要求</w:t>
            </w:r>
          </w:p>
          <w:p>
            <w:pPr>
              <w:ind w:firstLine="480"/>
              <w:jc w:val="both"/>
            </w:pPr>
            <w:r>
              <w:rPr>
                <w:sz w:val="24"/>
              </w:rPr>
              <w:t>★1.服务机构统一纳入广州市居家养老综合服务平台供应商库，接受政府部门的监督管理，按照政府的要求开展服务。</w:t>
            </w:r>
            <w:r>
              <w:rPr>
                <w:b/>
                <w:sz w:val="24"/>
                <w:u w:val="single"/>
              </w:rPr>
              <w:t>供应商必须是具有独立承担民事责任能力的中华人民共和国境内注册的法人、事业单位或其他组织。提供食品、医疗服务的，应依法取得相应资质许可；提供机构养老服务的，应依法办理备案</w:t>
            </w:r>
            <w:r>
              <w:rPr>
                <w:b/>
                <w:sz w:val="24"/>
              </w:rPr>
              <w:t>。</w:t>
            </w:r>
          </w:p>
          <w:p>
            <w:pPr>
              <w:ind w:firstLine="480"/>
              <w:jc w:val="both"/>
            </w:pPr>
            <w:r>
              <w:rPr>
                <w:sz w:val="24"/>
              </w:rPr>
              <w:t>★4.提供医疗服务的应获得医疗机构执业许可证或合作方合约及医疗机构执业证，提供餐饮服务的应获得食品经营许可证或合作方合约及食品经营许可证。</w:t>
            </w:r>
          </w:p>
          <w:p>
            <w:pPr>
              <w:ind w:firstLine="480"/>
              <w:jc w:val="both"/>
            </w:pPr>
            <w:r>
              <w:rPr>
                <w:b/>
                <w:sz w:val="24"/>
              </w:rPr>
              <w:t>（二）人员要求</w:t>
            </w:r>
          </w:p>
          <w:p>
            <w:pPr>
              <w:ind w:firstLine="480"/>
              <w:jc w:val="both"/>
            </w:pPr>
          </w:p>
          <w:p>
            <w:pPr>
              <w:ind w:firstLine="480"/>
              <w:jc w:val="both"/>
            </w:pPr>
            <w:r>
              <w:rPr>
                <w:sz w:val="24"/>
              </w:rPr>
              <w:t>★</w:t>
            </w:r>
            <w:r>
              <w:rPr>
                <w:color w:val="000000"/>
                <w:sz w:val="24"/>
              </w:rPr>
              <w:t>1.供应商应为本项目配备专职项目负责人1名（具有中级社会工作师资格证，有3年以上养老服务管理工作经验）,专职养老管理员1人（具有初级社会工作师，大专以上学历，35周岁以下，2年以上养老管理经验），专职社会工作师1人（具有初级社会工作师），专职助餐配餐员1人（大专或以上学历），专职执业护士1人，兼职执业医疗1人、执业康复治疗师1人，合作医疗机构可委派人员。兼职养老督导员1人，兼职养老护理员1人（应具备养老护理从业资格，与资助对象的配备比例不低于1：50），兼职营养师1名。</w:t>
            </w:r>
          </w:p>
          <w:p>
            <w:pPr>
              <w:ind w:firstLine="480"/>
              <w:jc w:val="both"/>
            </w:pPr>
            <w:r>
              <w:rPr>
                <w:sz w:val="24"/>
              </w:rPr>
              <w:t>服务机构承诺在服务期内必须保证投入的工作人员数量不能减少，服务期中如在人事变动问题，必须保证能达到投标时承诺投入的人员。要求专职人员在工作日按时在岗，不得在服务期中途调离专职管理人员，兼职人员必须每周安排</w:t>
            </w:r>
            <w:r>
              <w:rPr>
                <w:sz w:val="24"/>
              </w:rPr>
              <w:t>3天以上到服务站坐班，每天工作时间不少于8小时。</w:t>
            </w:r>
          </w:p>
          <w:p>
            <w:pPr>
              <w:ind w:firstLine="480"/>
              <w:jc w:val="both"/>
            </w:pPr>
          </w:p>
          <w:p>
            <w:pPr>
              <w:ind w:firstLine="480"/>
              <w:jc w:val="both"/>
            </w:pPr>
            <w:r>
              <w:rPr>
                <w:b/>
                <w:sz w:val="24"/>
              </w:rPr>
              <w:t>（三）服务要求</w:t>
            </w:r>
          </w:p>
          <w:p>
            <w:pPr>
              <w:ind w:firstLine="480"/>
              <w:jc w:val="both"/>
            </w:pPr>
            <w:r>
              <w:rPr>
                <w:sz w:val="24"/>
              </w:rPr>
              <w:t>4.★助餐配餐服务。在提供助餐配餐（长者饭堂运营）服务项目，采购人要求供应商配备一辆四轮电动的送餐车，在签订合同或委托协议后，30天配备到位。统筹设置养老机构食堂和长者饭堂，为全托、日托和周边社区老年人提供助餐配餐服务。</w:t>
            </w:r>
          </w:p>
          <w:p>
            <w:pPr>
              <w:ind w:firstLine="480"/>
              <w:jc w:val="both"/>
            </w:pPr>
            <w:r>
              <w:rPr>
                <w:b/>
                <w:sz w:val="24"/>
              </w:rPr>
              <w:t>五、服务评估</w:t>
            </w:r>
          </w:p>
          <w:p>
            <w:pPr>
              <w:ind w:firstLine="480"/>
              <w:jc w:val="both"/>
            </w:pPr>
            <w:r>
              <w:rPr>
                <w:sz w:val="24"/>
              </w:rPr>
              <w:t>★合同期为2年，每年一签，自双方合同签订之日起，按照上级部门的要求，每年应对服务机构进行两次评估，分为中期评估（服务期满6个月）和末期评估（服务期满评估）。服务机构在这2期评估期间，主动向采购人提交书面自评报告，由我街向区居家养老服务指导中心申请服务评估。服务评估参照服务指标表对各项指标进行评估，若上级部门对评估有新要求，按照最新要求执行。在中期和期末评估，采购人要求供应商综合得分达到70以上（含70分），综合等级为合格；各项服务评估得分为60分以上（含60分），各项服务评估为合格，供应商继续为采购人提供服务。在采购人收到评估报告之日起30天内，供应商应对各项不合格的服务项目进行服务整改，并提交书面的整改报告给采购人验收或备案，采购人可对供应商承接的各项服务评估等级不合格的予以扣减费用，每项扣款</w:t>
            </w:r>
            <w:r>
              <w:rPr>
                <w:sz w:val="24"/>
              </w:rPr>
              <w:t>3000</w:t>
            </w:r>
            <w:r>
              <w:rPr>
                <w:sz w:val="24"/>
              </w:rPr>
              <w:t>元。若供应商整改后仍然不合格的，采购人可向上级部门报告，服务单位在2年内不得参与我市政府购买社区居家养老服务项目投标工作。</w:t>
            </w:r>
            <w:r>
              <w:rPr>
                <w:sz w:val="24"/>
              </w:rPr>
              <w:t>各项评估为不合格的服务项目，在每合同期的尾款中扣减。</w:t>
            </w:r>
            <w:r>
              <w:rPr>
                <w:sz w:val="24"/>
              </w:rPr>
              <w:t>每年以中期评估结果：综合得分达到70以上（含70分），综合等级为合格，可续签第二年的服务合同。</w:t>
            </w:r>
          </w:p>
          <w:p>
            <w:pPr>
              <w:ind w:firstLine="480"/>
              <w:jc w:val="both"/>
            </w:pPr>
            <w:r>
              <w:rPr>
                <w:b/>
                <w:sz w:val="24"/>
              </w:rPr>
              <w:t>六、付款方式</w:t>
            </w:r>
          </w:p>
          <w:p>
            <w:pPr>
              <w:jc w:val="both"/>
            </w:pPr>
            <w:r>
              <w:rPr>
                <w:b/>
                <w:sz w:val="24"/>
              </w:rPr>
              <w:t>★（一）运营经费</w:t>
            </w:r>
          </w:p>
          <w:p>
            <w:pPr>
              <w:ind w:firstLine="480"/>
            </w:pPr>
            <w:r>
              <w:rPr>
                <w:sz w:val="24"/>
              </w:rPr>
              <w:t>本项目总经费130万元，服务期2年，每年65万元，以每年一签的形式签订服务合同或委托服务协议书。第一年合同期分4次支付运营项目经费如下：</w:t>
            </w:r>
          </w:p>
          <w:p>
            <w:pPr>
              <w:ind w:firstLine="480"/>
              <w:jc w:val="both"/>
            </w:pPr>
            <w:r>
              <w:rPr>
                <w:sz w:val="24"/>
              </w:rPr>
              <w:t>第一次付款方式：</w:t>
            </w:r>
            <w:r>
              <w:rPr>
                <w:sz w:val="24"/>
              </w:rPr>
              <w:t>支付比例为合同金额的22.3%，</w:t>
            </w:r>
            <w:r>
              <w:rPr>
                <w:sz w:val="24"/>
              </w:rPr>
              <w:t>供应商从签订服务合同或委托服务协议书的服务期之日起，采购人在2022年11月底前完成支付运营项目经费人民币</w:t>
            </w:r>
            <w:r>
              <w:rPr>
                <w:sz w:val="21"/>
                <w:u w:val="single"/>
              </w:rPr>
              <w:t xml:space="preserve">    </w:t>
            </w:r>
            <w:r>
              <w:rPr>
                <w:sz w:val="24"/>
              </w:rPr>
              <w:t>元（大写：</w:t>
            </w:r>
            <w:r>
              <w:rPr>
                <w:sz w:val="21"/>
                <w:u w:val="single"/>
              </w:rPr>
              <w:t xml:space="preserve">    </w:t>
            </w:r>
            <w:r>
              <w:rPr>
                <w:sz w:val="24"/>
              </w:rPr>
              <w:t>）。</w:t>
            </w:r>
          </w:p>
          <w:p>
            <w:pPr>
              <w:ind w:firstLine="480"/>
              <w:jc w:val="both"/>
            </w:pPr>
            <w:r>
              <w:rPr>
                <w:sz w:val="24"/>
              </w:rPr>
              <w:t>第二次付款方式：</w:t>
            </w:r>
            <w:r>
              <w:rPr>
                <w:sz w:val="24"/>
              </w:rPr>
              <w:t>支付比例为合同金额的36.15%</w:t>
            </w:r>
            <w:r>
              <w:rPr>
                <w:sz w:val="24"/>
              </w:rPr>
              <w:t>，支付项目运营经费</w:t>
            </w:r>
            <w:r>
              <w:rPr>
                <w:sz w:val="21"/>
                <w:u w:val="single"/>
              </w:rPr>
              <w:t xml:space="preserve">   </w:t>
            </w:r>
            <w:r>
              <w:rPr>
                <w:sz w:val="24"/>
              </w:rPr>
              <w:t>元（大写：</w:t>
            </w:r>
            <w:r>
              <w:rPr>
                <w:sz w:val="21"/>
                <w:u w:val="single"/>
              </w:rPr>
              <w:t xml:space="preserve">    </w:t>
            </w:r>
            <w:r>
              <w:rPr>
                <w:sz w:val="24"/>
              </w:rPr>
              <w:t>）。采购人在2023年3月底前完成支付手续。</w:t>
            </w:r>
          </w:p>
          <w:p>
            <w:pPr>
              <w:ind w:firstLine="480"/>
              <w:jc w:val="both"/>
            </w:pPr>
            <w:r>
              <w:rPr>
                <w:sz w:val="24"/>
              </w:rPr>
              <w:t>第三次付款方式：</w:t>
            </w:r>
            <w:r>
              <w:rPr>
                <w:sz w:val="24"/>
              </w:rPr>
              <w:t>支付比例为合同金额的36.15%，</w:t>
            </w:r>
            <w:r>
              <w:rPr>
                <w:sz w:val="24"/>
              </w:rPr>
              <w:t>支付项目运营经费</w:t>
            </w:r>
            <w:r>
              <w:rPr>
                <w:sz w:val="21"/>
                <w:u w:val="single"/>
              </w:rPr>
              <w:t xml:space="preserve">   </w:t>
            </w:r>
            <w:r>
              <w:rPr>
                <w:sz w:val="24"/>
              </w:rPr>
              <w:t>元（大写：</w:t>
            </w:r>
            <w:r>
              <w:rPr>
                <w:sz w:val="21"/>
                <w:u w:val="single"/>
              </w:rPr>
              <w:t xml:space="preserve">    </w:t>
            </w:r>
            <w:r>
              <w:rPr>
                <w:sz w:val="24"/>
              </w:rPr>
              <w:t>）。采购人在2023年9月底前完成支付手续。</w:t>
            </w:r>
          </w:p>
          <w:p>
            <w:pPr>
              <w:ind w:firstLine="480"/>
            </w:pPr>
            <w:r>
              <w:rPr>
                <w:sz w:val="24"/>
              </w:rPr>
              <w:t>第四次付款方式：</w:t>
            </w:r>
            <w:r>
              <w:rPr>
                <w:sz w:val="24"/>
              </w:rPr>
              <w:t>支付比例为合同金额的5.4%</w:t>
            </w:r>
            <w:r>
              <w:rPr>
                <w:sz w:val="24"/>
              </w:rPr>
              <w:t>，支付项目运营经费</w:t>
            </w:r>
            <w:r>
              <w:rPr>
                <w:u w:val="single"/>
              </w:rPr>
              <w:t xml:space="preserve">   </w:t>
            </w:r>
            <w:r>
              <w:rPr>
                <w:sz w:val="24"/>
              </w:rPr>
              <w:t>元（大写：</w:t>
            </w:r>
            <w:r>
              <w:rPr>
                <w:u w:val="single"/>
              </w:rPr>
              <w:t xml:space="preserve">    </w:t>
            </w:r>
            <w:r>
              <w:rPr>
                <w:sz w:val="24"/>
              </w:rPr>
              <w:t>）。采购人在收到末期评估报告后，30个工作内办理尾款支付手续。</w:t>
            </w:r>
          </w:p>
          <w:p>
            <w:pPr>
              <w:ind w:firstLine="480"/>
              <w:jc w:val="both"/>
            </w:pPr>
            <w:r>
              <w:rPr>
                <w:sz w:val="24"/>
              </w:rPr>
              <w:t>甲方按上述约定支付费用，乙方指定</w:t>
            </w:r>
            <w:r>
              <w:rPr>
                <w:sz w:val="21"/>
                <w:u w:val="single"/>
              </w:rPr>
              <w:t xml:space="preserve">          </w:t>
            </w:r>
            <w:r>
              <w:rPr>
                <w:sz w:val="24"/>
              </w:rPr>
              <w:t>为本项目的收款单位，收款名称：</w:t>
            </w:r>
            <w:r>
              <w:rPr>
                <w:sz w:val="21"/>
                <w:u w:val="single"/>
              </w:rPr>
              <w:t xml:space="preserve">        </w:t>
            </w:r>
            <w:r>
              <w:rPr>
                <w:sz w:val="24"/>
              </w:rPr>
              <w:t>，收款账号：      ，开户银行：    。乙方处理好各联合体之间的关系，乙方联合体之间、乙方与员工之间的纠纷与甲方无关。</w:t>
            </w:r>
          </w:p>
          <w:p>
            <w:pPr>
              <w:ind w:firstLine="480"/>
            </w:pPr>
          </w:p>
          <w:p>
            <w:pPr>
              <w:ind w:firstLine="480"/>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1.采购代理机构：本项目是指品正招标采购（广州）有限公司，负责整个采购活动的组织，依法负责编制和发布招标文件，对招标文件拥有最终的解释权，不以任何身份出任评标委员会成员。</w:t>
      </w:r>
    </w:p>
    <w:p>
      <w:pPr>
        <w:ind w:firstLine="480"/>
      </w:pPr>
      <w:r>
        <w:rPr/>
        <w:t>2.采购人：本项目是指</w:t>
      </w:r>
      <w:r>
        <w:rPr/>
        <w:t>广州市南沙区人民政府龙穴街道办事处</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4</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按差额定率累进法计算收费：参照发改价格〔2011〕534号文以及《关于进一步放开建设项目专业服务价格的通知》（发改价格〔2015〕299号）规定的“服务类”计费标准按人民币21400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品正招标采购（广州）有限公司网站（http://www.pinzhengzhaobiao.com/）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品正招标采购（广州）有限公司网站（http://www.pinzhengzhaobiao.com/）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(020)22634050</w:t>
      </w:r>
    </w:p>
    <w:p>
      <w:pPr>
        <w:ind w:firstLine="480"/>
      </w:pPr>
      <w:r>
        <w:rPr/>
        <w:t>传真：</w:t>
      </w:r>
      <w:r>
        <w:rPr/>
        <w:t>/</w:t>
      </w:r>
    </w:p>
    <w:p>
      <w:pPr>
        <w:ind w:firstLine="480"/>
      </w:pPr>
      <w:r>
        <w:rPr/>
        <w:t>邮箱：</w:t>
      </w:r>
      <w:r>
        <w:rPr/>
        <w:t>pingzhenggs@foxmail.com</w:t>
      </w:r>
    </w:p>
    <w:p>
      <w:pPr>
        <w:ind w:firstLine="480"/>
      </w:pPr>
      <w:r>
        <w:rPr/>
        <w:t>地址：</w:t>
      </w:r>
      <w:r>
        <w:rPr/>
        <w:t>广东省广州市南沙区东涌镇大同村市南公路13号茂源创意园A座302</w:t>
      </w:r>
    </w:p>
    <w:p>
      <w:pPr>
        <w:ind w:firstLine="480"/>
      </w:pPr>
      <w:r>
        <w:rPr/>
        <w:t>邮编：</w:t>
      </w:r>
      <w:r>
        <w:rPr/>
        <w:t>511453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南沙区龙穴街综合养老服务中心运营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品正招标采购（广州）有限公司</w:t>
      </w:r>
      <w:r>
        <w:rPr/>
        <w:t>统一对外发布。</w:t>
      </w:r>
    </w:p>
    <w:p>
      <w:pPr>
        <w:ind w:firstLine="480"/>
      </w:pPr>
      <w:r>
        <w:rPr/>
        <w:t>（2）对</w:t>
      </w:r>
      <w:r>
        <w:rPr/>
        <w:t>品正招标采购（广州）有限公司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采购包1（广州市南沙区龙穴街综合养老服务中心运营项目）：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采购包1（广州市南沙区龙穴街综合养老服务中心运营项目）：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tc>
      </w:tr>
      <w:tr>
        <w:tc>
          <w:tcPr>
            <w:tcW w:type="dxa" w:w="890"/>
          </w:tcPr>
          <w:p>
            <w:r>
              <w:rPr/>
              <w:t>2</w:t>
            </w:r>
          </w:p>
        </w:tc>
        <w:tc>
          <w:tcPr>
            <w:tcW w:type="dxa" w:w="3178"/>
          </w:tcPr>
          <w:p>
            <w:r>
              <w:rPr/>
              <w:t>有依法缴纳税收和社会保障资金的良好记录</w:t>
            </w:r>
          </w:p>
        </w:tc>
        <w:tc>
          <w:tcPr>
            <w:tcW w:type="dxa" w:w="4238"/>
          </w:tcPr>
          <w:p>
            <w:r>
              <w:rPr/>
              <w:t>提供供应商资格声明函（格式自拟）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提供供应商资格声明函（格式自拟）</w:t>
            </w:r>
          </w:p>
        </w:tc>
      </w:tr>
      <w:tr>
        <w:tc>
          <w:tcPr>
            <w:tcW w:type="dxa" w:w="890"/>
          </w:tcPr>
          <w:p>
            <w:r>
              <w:rPr/>
              <w:t>4</w:t>
            </w:r>
          </w:p>
        </w:tc>
        <w:tc>
          <w:tcPr>
            <w:tcW w:type="dxa" w:w="3178"/>
          </w:tcPr>
          <w:p>
            <w:r>
              <w:rPr/>
              <w:t>履行合同所必需的设备和专业技术能力</w:t>
            </w:r>
          </w:p>
        </w:tc>
        <w:tc>
          <w:tcPr>
            <w:tcW w:type="dxa" w:w="4238"/>
          </w:tcPr>
          <w:p>
            <w:r>
              <w:rPr/>
              <w:t>提供供应商资格声明函（格式自拟）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提供供应商资格声明函（格式自拟）。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失信主体或政府采购严重违法失信行为记录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查询结果为准，如相关失信记录已失效，供应商需提供相关证明资料）。联合体投标的，各方均需满足上述要求。</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函相关承诺要求内容。提供《投标函》</w:t>
            </w:r>
          </w:p>
        </w:tc>
      </w:tr>
      <w:tr>
        <w:tc>
          <w:tcPr>
            <w:tcW w:type="dxa" w:w="890"/>
          </w:tcPr>
          <w:p>
            <w:r>
              <w:rPr/>
              <w:t>8</w:t>
            </w:r>
          </w:p>
        </w:tc>
        <w:tc>
          <w:tcPr>
            <w:tcW w:type="dxa" w:w="3178"/>
          </w:tcPr>
          <w:p>
            <w:r>
              <w:rPr/>
              <w:t>本采购包专门面向中小企业采购</w:t>
            </w:r>
          </w:p>
        </w:tc>
        <w:tc>
          <w:tcPr>
            <w:tcW w:type="dxa" w:w="4238"/>
          </w:tcPr>
          <w:p>
            <w:r>
              <w:rPr/>
              <w:t>供应商提供的货物或服务须全部由中小企业生产且使用该中小企业商号或注册商标，该中小企业须符合本项目采购标的对应行业（本项目行业为： 其他未列明行业 ）的政策划分标准（监狱企业、残疾人福利性单位视同小微企业）。中小企业以供应商填写的《中小企业声明函》为判定标准；残疾人福利性单位以供应商提供的《残疾人福利性单位声明函》为判定标准；监狱企业须供应商提供由省级以上监狱管理局、戒毒管理局（含新疆生产建设兵团）出具的属于监狱企业的证明文件，否则不予认定。联合体投标的，各方需均符合本项目采购标的对应行业（本项目行业为：其他未列明行业）的政策划分标准（监狱企业、残疾人福利性单位视同小微企业）。</w:t>
            </w:r>
          </w:p>
        </w:tc>
      </w:tr>
    </w:tbl>
    <w:p/>
    <w:p>
      <w:pPr>
        <w:ind w:firstLine="480"/>
      </w:pPr>
      <w:r>
        <w:rPr/>
        <w:t>表二符合性审查表：</w:t>
      </w:r>
    </w:p>
    <w:p>
      <w:pPr>
        <w:ind w:firstLine="480"/>
      </w:pPr>
    </w:p>
    <w:p/>
    <w:p>
      <w:r>
        <w:rPr/>
        <w:t>采购包1（广州市南沙区龙穴街综合养老服务中心运营项目）：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法定代表人证明书/法定代表人授权委托书</w:t>
            </w:r>
          </w:p>
        </w:tc>
        <w:tc>
          <w:tcPr>
            <w:tcW w:type="dxa" w:w="4238"/>
          </w:tcPr>
          <w:p>
            <w:r>
              <w:rPr/>
              <w:t>法定代表人证明书/法定代表人授权委托书</w:t>
            </w:r>
          </w:p>
        </w:tc>
      </w:tr>
      <w:tr>
        <w:tc>
          <w:tcPr>
            <w:tcW w:type="dxa" w:w="890"/>
          </w:tcPr>
          <w:p>
            <w:r>
              <w:rPr/>
              <w:t>3</w:t>
            </w:r>
          </w:p>
        </w:tc>
        <w:tc>
          <w:tcPr>
            <w:tcW w:type="dxa" w:w="3178"/>
          </w:tcPr>
          <w:p>
            <w:r>
              <w:rPr/>
              <w:t>有效期为90天（日历天）</w:t>
            </w:r>
          </w:p>
        </w:tc>
        <w:tc>
          <w:tcPr>
            <w:tcW w:type="dxa" w:w="4238"/>
          </w:tcPr>
          <w:p>
            <w:r>
              <w:rPr/>
              <w:t>有效期为90天（日历天）</w:t>
            </w:r>
          </w:p>
        </w:tc>
      </w:tr>
      <w:tr>
        <w:tc>
          <w:tcPr>
            <w:tcW w:type="dxa" w:w="890"/>
          </w:tcPr>
          <w:p>
            <w:r>
              <w:rPr/>
              <w:t>4</w:t>
            </w:r>
          </w:p>
        </w:tc>
        <w:tc>
          <w:tcPr>
            <w:tcW w:type="dxa" w:w="3178"/>
          </w:tcPr>
          <w:p>
            <w:r>
              <w:rPr/>
              <w:t>按照招标文件规定要求签署、盖章</w:t>
            </w:r>
          </w:p>
        </w:tc>
        <w:tc>
          <w:tcPr>
            <w:tcW w:type="dxa" w:w="4238"/>
          </w:tcPr>
          <w:p>
            <w:r>
              <w:rPr/>
              <w:t>按照招标文件规定要求签署、盖章</w:t>
            </w:r>
          </w:p>
        </w:tc>
      </w:tr>
      <w:tr>
        <w:tc>
          <w:tcPr>
            <w:tcW w:type="dxa" w:w="890"/>
          </w:tcPr>
          <w:p>
            <w:r>
              <w:rPr/>
              <w:t>5</w:t>
            </w:r>
          </w:p>
        </w:tc>
        <w:tc>
          <w:tcPr>
            <w:tcW w:type="dxa" w:w="3178"/>
          </w:tcPr>
          <w:p>
            <w:r>
              <w:rPr/>
              <w:t>投标报价是唯一确定且没超过采购预算；关键、主要内容无漏项</w:t>
            </w:r>
          </w:p>
        </w:tc>
        <w:tc>
          <w:tcPr>
            <w:tcW w:type="dxa" w:w="4238"/>
          </w:tcPr>
          <w:p>
            <w:r>
              <w:rPr/>
              <w:t>投标报价是唯一确定且没超过采购预算；关键、主要内容无漏项</w:t>
            </w:r>
          </w:p>
        </w:tc>
      </w:tr>
      <w:tr>
        <w:tc>
          <w:tcPr>
            <w:tcW w:type="dxa" w:w="890"/>
          </w:tcPr>
          <w:p>
            <w:r>
              <w:rPr/>
              <w:t>6</w:t>
            </w:r>
          </w:p>
        </w:tc>
        <w:tc>
          <w:tcPr>
            <w:tcW w:type="dxa" w:w="3178"/>
          </w:tcPr>
          <w:p>
            <w:r>
              <w:rPr/>
              <w:t>能满足采购人需求中的主要参数（带“★”号条款）</w:t>
            </w:r>
          </w:p>
        </w:tc>
        <w:tc>
          <w:tcPr>
            <w:tcW w:type="dxa" w:w="4238"/>
          </w:tcPr>
          <w:p>
            <w:r>
              <w:rPr/>
              <w:t>能满足采购人需求中的主要参数（带“★”号条款）</w:t>
            </w:r>
          </w:p>
        </w:tc>
      </w:tr>
      <w:tr>
        <w:tc>
          <w:tcPr>
            <w:tcW w:type="dxa" w:w="890"/>
          </w:tcPr>
          <w:p>
            <w:r>
              <w:rPr/>
              <w:t>7</w:t>
            </w:r>
          </w:p>
        </w:tc>
        <w:tc>
          <w:tcPr>
            <w:tcW w:type="dxa" w:w="3178"/>
          </w:tcPr>
          <w:p>
            <w:r>
              <w:rPr/>
              <w:t>工时报价未低于年度最低专业服务总工时以及高于年度最高专业服务总工时</w:t>
            </w:r>
          </w:p>
        </w:tc>
        <w:tc>
          <w:tcPr>
            <w:tcW w:type="dxa" w:w="4238"/>
          </w:tcPr>
          <w:p>
            <w:r>
              <w:rPr/>
              <w:t>工时报价未低于年度最低专业服务总工时以及高于年度最高专业服务总工时</w:t>
            </w:r>
          </w:p>
        </w:tc>
      </w:tr>
      <w:tr>
        <w:tc>
          <w:tcPr>
            <w:tcW w:type="dxa" w:w="890"/>
          </w:tcPr>
          <w:p>
            <w:r>
              <w:rPr/>
              <w:t>8</w:t>
            </w:r>
          </w:p>
        </w:tc>
        <w:tc>
          <w:tcPr>
            <w:tcW w:type="dxa" w:w="3178"/>
          </w:tcPr>
          <w:p>
            <w:r>
              <w:rPr/>
              <w:t>无招标文件中规定的被视为无效投标的其它条款的</w:t>
            </w:r>
          </w:p>
        </w:tc>
        <w:tc>
          <w:tcPr>
            <w:tcW w:type="dxa" w:w="4238"/>
          </w:tcPr>
          <w:p>
            <w:r>
              <w:rPr/>
              <w:t>无招标文件中规定的被视为无效投标的其它条款的</w:t>
            </w:r>
          </w:p>
        </w:tc>
      </w:tr>
      <w:tr>
        <w:tc>
          <w:tcPr>
            <w:tcW w:type="dxa" w:w="890"/>
          </w:tcPr>
          <w:p>
            <w:r>
              <w:rPr/>
              <w:t>9</w:t>
            </w:r>
          </w:p>
        </w:tc>
        <w:tc>
          <w:tcPr>
            <w:tcW w:type="dxa" w:w="3178"/>
          </w:tcPr>
          <w:p>
            <w:r>
              <w:rPr/>
              <w:t>未出现法律、法规、规章规定属于投标无效的其他情形</w:t>
            </w:r>
          </w:p>
        </w:tc>
        <w:tc>
          <w:tcPr>
            <w:tcW w:type="dxa" w:w="4238"/>
          </w:tcPr>
          <w:p>
            <w:r>
              <w:rPr/>
              <w:t>未出现法律、法规、规章规定属于投标无效的其他情形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采购包1广州市南沙区龙穴街综合养老服务中心运营项目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服务响应情况 (10.0分)</w:t>
            </w:r>
            <w:r>
              <w:rPr/>
              <w:t>，（等次分值选择：</w:t>
            </w:r>
            <w:r>
              <w:rPr/>
              <w:t>0.0;</w:t>
            </w:r>
            <w:r>
              <w:rPr/>
              <w:t>6.0;</w:t>
            </w:r>
            <w:r>
              <w:rPr/>
              <w:t>10.0;</w:t>
            </w:r>
            <w:r>
              <w:rPr/>
              <w:t>）</w:t>
            </w:r>
          </w:p>
        </w:tc>
        <w:tc>
          <w:tcPr>
            <w:tcW w:type="dxa" w:w="5076"/>
          </w:tcPr>
          <w:p>
            <w:pPr>
              <w:jc w:val="left"/>
            </w:pPr>
            <w:r>
              <w:rPr/>
              <w:t>服务供应商对采购人服务需求的响应程度。 1.优于用户需求书要求，得10分； 2.符合用户需求书，得6分； 3.不符合用户需求书要求，得0分。</w:t>
            </w:r>
          </w:p>
        </w:tc>
      </w:tr>
      <w:tr>
        <w:tc>
          <w:tcPr>
            <w:tcW w:type="dxa" w:w="922"/>
            <w:gridSpan w:val="2"/>
            <w:vMerge/>
          </w:tcPr>
          <w:p/>
        </w:tc>
        <w:tc>
          <w:tcPr>
            <w:tcW w:type="dxa" w:w="2307"/>
          </w:tcPr>
          <w:p>
            <w:pPr>
              <w:jc w:val="left"/>
            </w:pPr>
            <w:r>
              <w:rPr/>
              <w:t>项目计划的专业服务内容 (15.0分)</w:t>
            </w:r>
            <w:r>
              <w:rPr/>
              <w:t>，（等次分值选择：</w:t>
            </w:r>
            <w:r>
              <w:rPr/>
              <w:t>0.0;</w:t>
            </w:r>
            <w:r>
              <w:rPr/>
              <w:t>3.0;</w:t>
            </w:r>
            <w:r>
              <w:rPr/>
              <w:t>5.0;</w:t>
            </w:r>
            <w:r>
              <w:rPr/>
              <w:t>10.0;</w:t>
            </w:r>
            <w:r>
              <w:rPr/>
              <w:t>15.0;</w:t>
            </w:r>
            <w:r>
              <w:rPr/>
              <w:t>）</w:t>
            </w:r>
          </w:p>
        </w:tc>
        <w:tc>
          <w:tcPr>
            <w:tcW w:type="dxa" w:w="5076"/>
          </w:tcPr>
          <w:p>
            <w:pPr>
              <w:jc w:val="left"/>
            </w:pPr>
            <w:r>
              <w:rPr/>
              <w:t>服务供应商能够制定有针对性的可行性服务方案，包括但不限于实施计划、人员结构及分工、服务供给等内容。 1.非常熟悉项目内容，针对项目制定了较为完善的实施计划、人员结构及分工、服务供给、应急预案等内容，对进度把握及方案质量保证有详细的说明，有创新特色，综合比较为优，得15分。 2.比较熟悉项目内容，能针对本项目制定相应的实施计划、人员结构及方案质量保证有关的说明，综合比较为良，得10分； 3.了解项目内容，能针对本项目制定相应的实施计划、人员结构及分工、服务供给等内容，对进度把控及方案质量保证有一些说明，综合比较不中，得5分； 4.不了解项目内容，不能针对本项目制定相应的实施计划、人员结构及分工、服务供给等内容，对进度把控及方案质量没有说明，综合比较为差，得3分。 5. 无相关项目计划的专业服务内容，得0分。</w:t>
            </w:r>
          </w:p>
        </w:tc>
      </w:tr>
      <w:tr>
        <w:tc>
          <w:tcPr>
            <w:tcW w:type="dxa" w:w="922"/>
            <w:gridSpan w:val="2"/>
            <w:vMerge/>
          </w:tcPr>
          <w:p/>
        </w:tc>
        <w:tc>
          <w:tcPr>
            <w:tcW w:type="dxa" w:w="2307"/>
          </w:tcPr>
          <w:p>
            <w:pPr>
              <w:jc w:val="left"/>
            </w:pPr>
            <w:r>
              <w:rPr/>
              <w:t>项目计划实施的制度保障 (8.0分)</w:t>
            </w:r>
            <w:r>
              <w:rPr/>
              <w:t>，（等次分值选择：</w:t>
            </w:r>
            <w:r>
              <w:rPr/>
              <w:t>0.0;</w:t>
            </w:r>
            <w:r>
              <w:rPr/>
              <w:t>2.0;</w:t>
            </w:r>
            <w:r>
              <w:rPr/>
              <w:t>5.0;</w:t>
            </w:r>
            <w:r>
              <w:rPr/>
              <w:t>8.0;</w:t>
            </w:r>
            <w:r>
              <w:rPr/>
              <w:t>）</w:t>
            </w:r>
          </w:p>
        </w:tc>
        <w:tc>
          <w:tcPr>
            <w:tcW w:type="dxa" w:w="5076"/>
          </w:tcPr>
          <w:p>
            <w:pPr>
              <w:jc w:val="left"/>
            </w:pPr>
            <w:r>
              <w:rPr/>
              <w:t>1.有系统的服务保障制度，具有较强的合理性和可执行性，得8分； 2.有系统的服务保障制度，具有较强的合理性和可执行性，得5分； 3.有服务保障制度，但可执行性较低的，得2分； 4.无相关保障运行制度的，得0分。</w:t>
            </w:r>
          </w:p>
        </w:tc>
      </w:tr>
      <w:tr>
        <w:tc>
          <w:tcPr>
            <w:tcW w:type="dxa" w:w="922"/>
            <w:gridSpan w:val="2"/>
            <w:vMerge/>
          </w:tcPr>
          <w:p/>
        </w:tc>
        <w:tc>
          <w:tcPr>
            <w:tcW w:type="dxa" w:w="2307"/>
          </w:tcPr>
          <w:p>
            <w:pPr>
              <w:jc w:val="left"/>
            </w:pPr>
            <w:r>
              <w:rPr/>
              <w:t>项目经费预算保障要求 (8.0分)</w:t>
            </w:r>
            <w:r>
              <w:rPr/>
              <w:t>，（等次分值选择：</w:t>
            </w:r>
            <w:r>
              <w:rPr/>
              <w:t>0.0;</w:t>
            </w:r>
            <w:r>
              <w:rPr/>
              <w:t>2.0;</w:t>
            </w:r>
            <w:r>
              <w:rPr/>
              <w:t>5.0;</w:t>
            </w:r>
            <w:r>
              <w:rPr/>
              <w:t>8.0;</w:t>
            </w:r>
            <w:r>
              <w:rPr/>
              <w:t>）</w:t>
            </w:r>
          </w:p>
        </w:tc>
        <w:tc>
          <w:tcPr>
            <w:tcW w:type="dxa" w:w="5076"/>
          </w:tcPr>
          <w:p>
            <w:pPr>
              <w:jc w:val="left"/>
            </w:pPr>
            <w:r>
              <w:rPr/>
              <w:t>1.项目经费预算科目清晰，全面考虑了工作中各项可能性支出，预算明细合理且符合政府购买服务的相关规定，得8分； 2.项目经费预算科目清晰，较全面考虑了工作中各项可能性支出，预算明细较合理且符合政府购买服务的相关规定，得5分； 3.项目经费预算科目清晰，但对工作中各项主要性支出考虑不够全面，预算明细基本合理，得2分； 4.无项目经费预算或项目经费预算科目不清晰，均得0分。</w:t>
            </w:r>
          </w:p>
        </w:tc>
      </w:tr>
      <w:tr>
        <w:tc>
          <w:tcPr>
            <w:tcW w:type="dxa" w:w="922"/>
            <w:gridSpan w:val="2"/>
            <w:vMerge/>
          </w:tcPr>
          <w:p/>
        </w:tc>
        <w:tc>
          <w:tcPr>
            <w:tcW w:type="dxa" w:w="2307"/>
          </w:tcPr>
          <w:p>
            <w:pPr>
              <w:jc w:val="left"/>
            </w:pPr>
            <w:r>
              <w:rPr/>
              <w:t>管理组织架构 (8.0分)</w:t>
            </w:r>
            <w:r>
              <w:rPr/>
              <w:t>，（等次分值选择：</w:t>
            </w:r>
            <w:r>
              <w:rPr/>
              <w:t>0.0;</w:t>
            </w:r>
            <w:r>
              <w:rPr/>
              <w:t>2.0;</w:t>
            </w:r>
            <w:r>
              <w:rPr/>
              <w:t>5.0;</w:t>
            </w:r>
            <w:r>
              <w:rPr/>
              <w:t>8.0;</w:t>
            </w:r>
            <w:r>
              <w:rPr/>
              <w:t>）</w:t>
            </w:r>
          </w:p>
        </w:tc>
        <w:tc>
          <w:tcPr>
            <w:tcW w:type="dxa" w:w="5076"/>
          </w:tcPr>
          <w:p>
            <w:pPr>
              <w:jc w:val="left"/>
            </w:pPr>
            <w:r>
              <w:rPr/>
              <w:t>1.供应商拥有健全合理的组织架构，明确员工职责范围和工作守则，得8分； 2.供应商拥有较健全合理的组织架构，较明确员工职责范围和工作守则，得5分； 3.供应商组织架构一般，员工职责范围和工作守则内容不明确，得2分； 4.供应商组织架构差，员工职责范围和工作守则欠缺或其他的得0分。</w:t>
            </w:r>
          </w:p>
        </w:tc>
      </w:tr>
      <w:tr>
        <w:tc>
          <w:tcPr>
            <w:tcW w:type="dxa" w:w="922"/>
            <w:gridSpan w:val="2"/>
            <w:vMerge/>
          </w:tcPr>
          <w:p/>
        </w:tc>
        <w:tc>
          <w:tcPr>
            <w:tcW w:type="dxa" w:w="2307"/>
          </w:tcPr>
          <w:p>
            <w:pPr>
              <w:jc w:val="left"/>
            </w:pPr>
            <w:r>
              <w:rPr/>
              <w:t>项目服务设计的其他要求 (6.0分)</w:t>
            </w:r>
            <w:r>
              <w:rPr/>
              <w:t>，（等次分值选择：</w:t>
            </w:r>
            <w:r>
              <w:rPr/>
              <w:t>0.0;</w:t>
            </w:r>
            <w:r>
              <w:rPr/>
              <w:t>2.0;</w:t>
            </w:r>
            <w:r>
              <w:rPr/>
              <w:t>4.0;</w:t>
            </w:r>
            <w:r>
              <w:rPr/>
              <w:t>6.0;</w:t>
            </w:r>
            <w:r>
              <w:rPr/>
              <w:t>）</w:t>
            </w:r>
          </w:p>
        </w:tc>
        <w:tc>
          <w:tcPr>
            <w:tcW w:type="dxa" w:w="5076"/>
          </w:tcPr>
          <w:p>
            <w:pPr>
              <w:jc w:val="left"/>
            </w:pPr>
            <w:r>
              <w:rPr/>
              <w:t>投标机构能依据项目所在地社区的需求设立特色： 特色服务或创新服务设置完全符合镇（街）需求，且具有较强的操作性和可执行性，得6分； 特色服务或创新服务设置符合镇（街）需求，具有基本的操作性和可执行性，得4分； 特色服务或创新服务设置部分符合镇（街）需求，操作性和可执行性稍低，得2分； 特色服务或创新服务设置不符合镇（街）需求，得0分。</w:t>
            </w:r>
          </w:p>
        </w:tc>
      </w:tr>
      <w:tr>
        <w:tc>
          <w:tcPr>
            <w:tcW w:type="dxa" w:w="922"/>
            <w:gridSpan w:val="2"/>
            <w:vMerge w:val="restart"/>
          </w:tcPr>
          <w:p>
            <w:pPr>
              <w:jc w:val="center"/>
            </w:pPr>
            <w:r>
              <w:rPr/>
              <w:t>商务部分</w:t>
            </w:r>
          </w:p>
        </w:tc>
        <w:tc>
          <w:tcPr>
            <w:tcW w:type="dxa" w:w="2307"/>
          </w:tcPr>
          <w:p>
            <w:pPr>
              <w:jc w:val="left"/>
            </w:pPr>
            <w:r>
              <w:rPr/>
              <w:t>企业业绩 (3.0分)</w:t>
            </w:r>
          </w:p>
        </w:tc>
        <w:tc>
          <w:tcPr>
            <w:tcW w:type="dxa" w:w="5076"/>
          </w:tcPr>
          <w:p>
            <w:pPr>
              <w:jc w:val="left"/>
            </w:pPr>
            <w:r>
              <w:rPr/>
              <w:t>2020年1月1日至今承接的养老服务项目，每提供一项得0.5分,最高得3分。提供相关的服务合同，时间以签订合同时间为准。 注：以联合体方式投标时，企业类似项目业绩以联合体协议中承接相应任务方的相应专业业绩材料计算得分。</w:t>
            </w:r>
          </w:p>
        </w:tc>
      </w:tr>
      <w:tr>
        <w:tc>
          <w:tcPr>
            <w:tcW w:type="dxa" w:w="922"/>
            <w:gridSpan w:val="2"/>
            <w:vMerge/>
          </w:tcPr>
          <w:p/>
        </w:tc>
        <w:tc>
          <w:tcPr>
            <w:tcW w:type="dxa" w:w="2307"/>
          </w:tcPr>
          <w:p>
            <w:pPr>
              <w:jc w:val="left"/>
            </w:pPr>
            <w:r>
              <w:rPr/>
              <w:t>能力服务 (4.0分)</w:t>
            </w:r>
          </w:p>
        </w:tc>
        <w:tc>
          <w:tcPr>
            <w:tcW w:type="dxa" w:w="5076"/>
          </w:tcPr>
          <w:p>
            <w:pPr>
              <w:jc w:val="left"/>
            </w:pPr>
            <w:r>
              <w:rPr/>
              <w:t>供应商拥有固定的办公场所，配置办公区与服务接待区，配置与其服务内容、服务范围相适应的固定场所与设施设备，得4分；无或其他不得分。 注：提供服务机构的营业执照（或其他组织证明文件）或场地使用证明文件或租房合同复印件及场地照片作为证明文件，提供不齐或不提供不得分。</w:t>
            </w:r>
          </w:p>
        </w:tc>
      </w:tr>
      <w:tr>
        <w:tc>
          <w:tcPr>
            <w:tcW w:type="dxa" w:w="922"/>
            <w:gridSpan w:val="2"/>
            <w:vMerge/>
          </w:tcPr>
          <w:p/>
        </w:tc>
        <w:tc>
          <w:tcPr>
            <w:tcW w:type="dxa" w:w="2307"/>
          </w:tcPr>
          <w:p>
            <w:pPr>
              <w:jc w:val="left"/>
            </w:pPr>
            <w:r>
              <w:rPr/>
              <w:t>企业实力 (7.0分)</w:t>
            </w:r>
          </w:p>
        </w:tc>
        <w:tc>
          <w:tcPr>
            <w:tcW w:type="dxa" w:w="5076"/>
          </w:tcPr>
          <w:p>
            <w:pPr>
              <w:jc w:val="left"/>
            </w:pPr>
            <w:r>
              <w:rPr/>
              <w:t>1.投标人自有医疗资质或与有医疗资质的机构合作的，得2分。需提供相关证明材料，合作形式的需同时提供合作合同复印件，不提供不得分。 2.投标人自有食品经营或食品生产资质或与有食品经营或食品生产资质的单位合作的，得2分。 需提供相关证明材料，合作形式的需同时提供合作合同复印件，不提供不得分。 3.投标人具有全托养老服务能力，能提供全日集中住宿和照料护理服务的，得3分。 注：需提供民政部门养老机构备案证明，不提供不得分。 以上若为联合体投标的，联合体各方可合并计算得分。</w:t>
            </w:r>
          </w:p>
        </w:tc>
      </w:tr>
      <w:tr>
        <w:tc>
          <w:tcPr>
            <w:tcW w:type="dxa" w:w="922"/>
            <w:gridSpan w:val="2"/>
            <w:vMerge/>
          </w:tcPr>
          <w:p/>
        </w:tc>
        <w:tc>
          <w:tcPr>
            <w:tcW w:type="dxa" w:w="2307"/>
          </w:tcPr>
          <w:p>
            <w:pPr>
              <w:jc w:val="left"/>
            </w:pPr>
            <w:r>
              <w:rPr/>
              <w:t>服务供应商的综合实力 (6.0分)</w:t>
            </w:r>
          </w:p>
        </w:tc>
        <w:tc>
          <w:tcPr>
            <w:tcW w:type="dxa" w:w="5076"/>
          </w:tcPr>
          <w:p>
            <w:pPr>
              <w:jc w:val="left"/>
            </w:pPr>
            <w:r>
              <w:rPr/>
              <w:t>1.服务供应商为企业的，同时具备质量管理体系认证证书、职业健康安全管理体系安全认证证书、环境管理体系认证证书的，得6分。 2.服务供应商为企业的，同时具备质量管理体系认证证书、职业健康安全管理体系安全认证证书、环境管理体系认证证书的其中任意两项的，得4分。 3.服务供应商为企业的，同时具备质量管理体系认证证书、职业健康安全管理体系安全认证证书、环境管理体系认证证书的其中任意一项的，得2分。 4.没有不得分。 注：提供相关证书扫描件。若为联合体投标的，联合体各方可合并计算得分。</w:t>
            </w:r>
          </w:p>
        </w:tc>
      </w:tr>
      <w:tr>
        <w:tc>
          <w:tcPr>
            <w:tcW w:type="dxa" w:w="922"/>
            <w:gridSpan w:val="2"/>
            <w:vMerge/>
          </w:tcPr>
          <w:p/>
        </w:tc>
        <w:tc>
          <w:tcPr>
            <w:tcW w:type="dxa" w:w="2307"/>
          </w:tcPr>
          <w:p>
            <w:pPr>
              <w:jc w:val="left"/>
            </w:pPr>
            <w:r>
              <w:rPr/>
              <w:t>投入项目的专业团队人员情况 (10.0分)</w:t>
            </w:r>
          </w:p>
        </w:tc>
        <w:tc>
          <w:tcPr>
            <w:tcW w:type="dxa" w:w="5076"/>
          </w:tcPr>
          <w:p>
            <w:pPr>
              <w:jc w:val="left"/>
            </w:pPr>
            <w:r>
              <w:rPr/>
              <w:t>服务供应商具备开展社区居家养老服务的专业力量。 1、为本项目配备的专职的项目负责人（具备社工专业资格中级或以上）： （1）具有3年（或）以上项目管理工作经验，得2分； （2）具有3年以下项目管理工作经验，得1分。 需提供以下证明材料：①相关证书复印件和身份证复印件；②与供应商签订的劳动合同；③供应商为相关人员购买三个月内任意一个月社保证明资料；④工作经验需出具相应岗位工作经验证明文件。 2、本项目配备执业医师的情况： 配备专职的执业医师，每配备1位得2分，兼职执业医师每配备1位得1分；可累计得分，本项最高得2分。 ①兼职人员需提供相关证书复印件和身份证复印件，不提供或专家无法认定的不得分。②若为专职人员，还需提供与供应商签订的劳动合同及供应商为相关人员购买三个月内任意一个月社保证明资料。 3、本项目配备执业护士的情况： 配备专职的执业护士，每配备1位得2分，兼职护士每配备1位得1分；本项最高得2分。 ①兼职人员需提供《护士执业证书》和身份证复印件。②若为专职人员，还需提供与供应商签订的劳动合同及供应商为相关人员购买三个月内任意一个月社保证明资料。 4、为本项目配备康复治疗师的情况： 每配备1位专职康复师，得2分，兼职康复师每配备1位得1分，本项最高得2分。 ①兼职人员需提供相关证书复印件和身份证复印件，不提供或专家无法认定的不得分。②若为专职人员，还需提供与供应商签订的劳动合同及供应商为相关人员购买三个月内任意一个月社保证明资料。 5、为本项目配备社会工作师的情况： （1）配备中级社会工作师，每配备1位得2分； （2）配备初级社会工作师，每配备1位得1分。 本项最高得2分。 ①兼职人员需提供相关证书复印件和身份证复印件，不提供或专家无法认定的不得分。②若为专职人员，还需提供与供应商签订的劳动合同及供应商为相关人员购买三个月内任意一个月社保证明资料。 注：①以联合体方式投标时，人员资历以联合体牵头方和成员方提供的资料合并计算；②同一个人只按一项得分，按最高分项计算，不累计得分。</w:t>
            </w:r>
          </w:p>
        </w:tc>
      </w:tr>
      <w:tr>
        <w:tc>
          <w:tcPr>
            <w:tcW w:type="dxa" w:w="922"/>
            <w:gridSpan w:val="2"/>
            <w:vMerge/>
          </w:tcPr>
          <w:p/>
        </w:tc>
        <w:tc>
          <w:tcPr>
            <w:tcW w:type="dxa" w:w="2307"/>
          </w:tcPr>
          <w:p>
            <w:pPr>
              <w:jc w:val="left"/>
            </w:pPr>
            <w:r>
              <w:rPr/>
              <w:t>对非重大违法违规记录的扣分 (5.0分)</w:t>
            </w:r>
          </w:p>
        </w:tc>
        <w:tc>
          <w:tcPr>
            <w:tcW w:type="dxa" w:w="5076"/>
          </w:tcPr>
          <w:p>
            <w:pPr>
              <w:jc w:val="left"/>
            </w:pPr>
            <w:r>
              <w:rPr/>
              <w:t>以“信用中国”（www.creditchina.gov.cn）网站为查询渠道： 对列入行政处罚或严重失信惩戒名单的供应商每一条记录扣1分，以上合计最高扣5分。如查询结果显示没有相关记录，视为没有上述非重大违法违规记录，则不扣分。以评审委员会于评审时在上述网站查询结果为准，评审委员会应将上述记录查询情况截图存档。</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sz w:val="44"/>
        </w:rPr>
        <w:t>广州市</w:t>
      </w:r>
      <w:r>
        <w:rPr>
          <w:sz w:val="44"/>
          <w:u w:val="single"/>
        </w:rPr>
        <w:t>南沙</w:t>
      </w:r>
      <w:r>
        <w:rPr>
          <w:sz w:val="44"/>
        </w:rPr>
        <w:t>区</w:t>
      </w:r>
      <w:r>
        <w:rPr>
          <w:sz w:val="44"/>
          <w:u w:val="single"/>
        </w:rPr>
        <w:t>龙穴</w:t>
      </w:r>
      <w:r>
        <w:rPr>
          <w:sz w:val="44"/>
        </w:rPr>
        <w:t>街综合养老服务中心</w:t>
      </w:r>
    </w:p>
    <w:p>
      <w:pPr>
        <w:jc w:val="center"/>
      </w:pPr>
      <w:r>
        <w:rPr>
          <w:sz w:val="44"/>
        </w:rPr>
        <w:t>运营</w:t>
      </w:r>
      <w:r>
        <w:rPr>
          <w:sz w:val="44"/>
        </w:rPr>
        <w:t>项目委托合同</w:t>
      </w:r>
    </w:p>
    <w:p>
      <w:pPr>
        <w:jc w:val="center"/>
      </w:pPr>
    </w:p>
    <w:p>
      <w:pPr>
        <w:jc w:val="both"/>
      </w:pPr>
    </w:p>
    <w:p>
      <w:pPr>
        <w:ind w:firstLine="480"/>
        <w:jc w:val="both"/>
      </w:pPr>
      <w:r>
        <w:rPr>
          <w:sz w:val="24"/>
        </w:rPr>
        <w:t>甲方：</w:t>
      </w:r>
      <w:r>
        <w:rPr>
          <w:sz w:val="24"/>
        </w:rPr>
        <w:t>广州市南沙区人民政府龙穴街道办事处</w:t>
      </w:r>
    </w:p>
    <w:p>
      <w:pPr>
        <w:ind w:firstLine="480"/>
        <w:jc w:val="left"/>
      </w:pPr>
      <w:r>
        <w:rPr>
          <w:sz w:val="24"/>
        </w:rPr>
        <w:t>单位名称：</w:t>
      </w:r>
      <w:r>
        <w:rPr>
          <w:sz w:val="24"/>
        </w:rPr>
        <w:t>广州市南沙区人民政府龙穴街道办事处</w:t>
      </w:r>
      <w:r>
        <w:rPr>
          <w:sz w:val="21"/>
        </w:rPr>
        <w:t xml:space="preserve">                        </w:t>
      </w:r>
    </w:p>
    <w:p>
      <w:pPr>
        <w:ind w:firstLine="480"/>
        <w:jc w:val="left"/>
      </w:pPr>
      <w:r>
        <w:rPr>
          <w:sz w:val="24"/>
        </w:rPr>
        <w:t>单位地址：</w:t>
      </w:r>
      <w:r>
        <w:rPr>
          <w:sz w:val="24"/>
        </w:rPr>
        <w:t>广州市南沙区龙穴街道口岸大厦</w:t>
      </w:r>
      <w:r>
        <w:rPr>
          <w:sz w:val="24"/>
        </w:rPr>
        <w:t>12</w:t>
      </w:r>
      <w:r>
        <w:rPr>
          <w:sz w:val="24"/>
        </w:rPr>
        <w:t>楼</w:t>
      </w:r>
      <w:r>
        <w:rPr>
          <w:sz w:val="21"/>
        </w:rPr>
        <w:t xml:space="preserve">                          </w:t>
      </w:r>
    </w:p>
    <w:p>
      <w:pPr>
        <w:ind w:firstLine="480"/>
        <w:jc w:val="left"/>
      </w:pPr>
      <w:r>
        <w:rPr>
          <w:sz w:val="24"/>
        </w:rPr>
        <w:t>法定代表人：</w:t>
      </w:r>
      <w:r>
        <w:rPr>
          <w:sz w:val="24"/>
        </w:rPr>
        <w:t xml:space="preserve">          </w:t>
      </w:r>
      <w:r>
        <w:rPr>
          <w:sz w:val="24"/>
        </w:rPr>
        <w:t>联系电话：</w:t>
      </w:r>
      <w:r>
        <w:rPr>
          <w:sz w:val="24"/>
        </w:rPr>
        <w:t xml:space="preserve">            </w:t>
      </w:r>
    </w:p>
    <w:p>
      <w:pPr>
        <w:ind w:firstLine="480"/>
        <w:jc w:val="left"/>
      </w:pPr>
      <w:r>
        <w:rPr>
          <w:sz w:val="24"/>
        </w:rPr>
        <w:t>联</w:t>
      </w:r>
      <w:r>
        <w:rPr>
          <w:sz w:val="24"/>
        </w:rPr>
        <w:t>系</w:t>
      </w:r>
      <w:r>
        <w:rPr>
          <w:sz w:val="24"/>
        </w:rPr>
        <w:t>人：</w:t>
      </w:r>
      <w:r>
        <w:rPr>
          <w:sz w:val="24"/>
        </w:rPr>
        <w:t xml:space="preserve">            </w:t>
      </w:r>
      <w:r>
        <w:rPr>
          <w:sz w:val="24"/>
        </w:rPr>
        <w:t>联系电话：</w:t>
      </w:r>
      <w:r>
        <w:rPr>
          <w:sz w:val="24"/>
        </w:rPr>
        <w:t xml:space="preserve"> </w:t>
      </w:r>
      <w:r>
        <w:rPr>
          <w:sz w:val="21"/>
        </w:rPr>
        <w:t xml:space="preserve">            </w:t>
      </w:r>
    </w:p>
    <w:p>
      <w:pPr>
        <w:ind w:firstLine="480"/>
        <w:jc w:val="both"/>
      </w:pPr>
      <w:r>
        <w:rPr>
          <w:sz w:val="24"/>
        </w:rPr>
        <w:t>乙方：（承办方，养老服务组织）</w:t>
      </w:r>
    </w:p>
    <w:p>
      <w:pPr>
        <w:ind w:firstLine="480"/>
        <w:jc w:val="left"/>
      </w:pPr>
      <w:r>
        <w:rPr>
          <w:sz w:val="24"/>
        </w:rPr>
        <w:t>单位名称：</w:t>
      </w:r>
      <w:r>
        <w:rPr>
          <w:sz w:val="24"/>
        </w:rPr>
        <w:t xml:space="preserve">                       </w:t>
      </w:r>
    </w:p>
    <w:p>
      <w:pPr>
        <w:ind w:firstLine="480"/>
        <w:jc w:val="left"/>
      </w:pPr>
      <w:r>
        <w:rPr>
          <w:sz w:val="24"/>
        </w:rPr>
        <w:t>单位地址：</w:t>
      </w:r>
      <w:r>
        <w:rPr>
          <w:sz w:val="24"/>
        </w:rPr>
        <w:t xml:space="preserve">                         </w:t>
      </w:r>
    </w:p>
    <w:p>
      <w:pPr>
        <w:ind w:firstLine="480"/>
        <w:jc w:val="left"/>
      </w:pPr>
      <w:r>
        <w:rPr>
          <w:sz w:val="24"/>
        </w:rPr>
        <w:t>法定代表人：</w:t>
      </w:r>
      <w:r>
        <w:rPr>
          <w:sz w:val="24"/>
        </w:rPr>
        <w:t xml:space="preserve">          </w:t>
      </w:r>
      <w:r>
        <w:rPr>
          <w:sz w:val="24"/>
        </w:rPr>
        <w:t>联系电话：</w:t>
      </w:r>
      <w:r>
        <w:rPr>
          <w:sz w:val="24"/>
        </w:rPr>
        <w:t xml:space="preserve">         </w:t>
      </w:r>
    </w:p>
    <w:p>
      <w:pPr>
        <w:ind w:firstLine="480"/>
        <w:jc w:val="left"/>
      </w:pPr>
      <w:r>
        <w:rPr>
          <w:sz w:val="24"/>
        </w:rPr>
        <w:t>联</w:t>
      </w:r>
      <w:r>
        <w:rPr>
          <w:sz w:val="24"/>
        </w:rPr>
        <w:t>系</w:t>
      </w:r>
      <w:r>
        <w:rPr>
          <w:sz w:val="24"/>
        </w:rPr>
        <w:t>人：</w:t>
      </w:r>
      <w:r>
        <w:rPr>
          <w:sz w:val="24"/>
        </w:rPr>
        <w:t xml:space="preserve">            </w:t>
      </w:r>
      <w:r>
        <w:rPr>
          <w:sz w:val="24"/>
        </w:rPr>
        <w:t>联系电话：</w:t>
      </w:r>
      <w:r>
        <w:rPr>
          <w:b/>
          <w:sz w:val="21"/>
        </w:rPr>
        <w:t xml:space="preserve">   </w:t>
      </w:r>
      <w:r>
        <w:rPr>
          <w:sz w:val="21"/>
        </w:rPr>
        <w:t xml:space="preserve"> </w:t>
      </w:r>
    </w:p>
    <w:p>
      <w:pPr>
        <w:ind w:firstLine="480"/>
        <w:jc w:val="both"/>
      </w:pPr>
    </w:p>
    <w:p>
      <w:pPr>
        <w:ind w:firstLine="480"/>
        <w:jc w:val="both"/>
      </w:pPr>
      <w:r>
        <w:rPr>
          <w:sz w:val="24"/>
        </w:rPr>
        <w:t>根据《中华人民共和国民法典》《国务院办公厅关于推进养老服务发展的意见》（国办发﹝</w:t>
      </w:r>
      <w:r>
        <w:rPr>
          <w:sz w:val="24"/>
        </w:rPr>
        <w:t>2019</w:t>
      </w:r>
      <w:r>
        <w:rPr>
          <w:sz w:val="24"/>
        </w:rPr>
        <w:t>﹞</w:t>
      </w:r>
      <w:r>
        <w:rPr>
          <w:sz w:val="24"/>
        </w:rPr>
        <w:t>5</w:t>
      </w:r>
      <w:r>
        <w:rPr>
          <w:sz w:val="24"/>
        </w:rPr>
        <w:t>号）《民政部关于进一步扩大养老服务共给、促进养老服务消费的实施意见》（民发﹝</w:t>
      </w:r>
      <w:r>
        <w:rPr>
          <w:sz w:val="24"/>
        </w:rPr>
        <w:t>2019</w:t>
      </w:r>
      <w:r>
        <w:rPr>
          <w:sz w:val="24"/>
        </w:rPr>
        <w:t>﹞</w:t>
      </w:r>
      <w:r>
        <w:rPr>
          <w:sz w:val="24"/>
        </w:rPr>
        <w:t>88</w:t>
      </w:r>
      <w:r>
        <w:rPr>
          <w:sz w:val="24"/>
        </w:rPr>
        <w:t>号）《广东省人民政府办公厅关于加快推进养老服务发展的若干措施》（粤府办﹝</w:t>
      </w:r>
      <w:r>
        <w:rPr>
          <w:sz w:val="24"/>
        </w:rPr>
        <w:t>2019</w:t>
      </w:r>
      <w:r>
        <w:rPr>
          <w:sz w:val="24"/>
        </w:rPr>
        <w:t>﹞</w:t>
      </w:r>
      <w:r>
        <w:rPr>
          <w:sz w:val="24"/>
        </w:rPr>
        <w:t>23</w:t>
      </w:r>
      <w:r>
        <w:rPr>
          <w:sz w:val="24"/>
        </w:rPr>
        <w:t>号）以及相关政策文件等的规定，甲乙双方在平等自愿、协商一致的基础上，就甲方委托乙方承办</w:t>
      </w:r>
      <w:r>
        <w:rPr>
          <w:sz w:val="24"/>
          <w:u w:val="single"/>
        </w:rPr>
        <w:t>南沙</w:t>
      </w:r>
      <w:r>
        <w:rPr>
          <w:sz w:val="24"/>
        </w:rPr>
        <w:t>区</w:t>
      </w:r>
      <w:r>
        <w:rPr>
          <w:sz w:val="24"/>
          <w:u w:val="single"/>
        </w:rPr>
        <w:t>龙穴</w:t>
      </w:r>
      <w:r>
        <w:rPr>
          <w:sz w:val="24"/>
        </w:rPr>
        <w:t xml:space="preserve"> </w:t>
      </w:r>
      <w:r>
        <w:rPr>
          <w:sz w:val="24"/>
        </w:rPr>
        <w:t>街综合养老服务中心</w:t>
      </w:r>
      <w:r>
        <w:rPr>
          <w:sz w:val="24"/>
        </w:rPr>
        <w:t>运营</w:t>
      </w:r>
      <w:r>
        <w:rPr>
          <w:sz w:val="24"/>
        </w:rPr>
        <w:t>项目（以下称项目）事宜签订合同如下：</w:t>
      </w:r>
    </w:p>
    <w:p>
      <w:pPr>
        <w:ind w:firstLine="480"/>
        <w:jc w:val="left"/>
      </w:pPr>
      <w:r>
        <w:rPr>
          <w:sz w:val="24"/>
        </w:rPr>
        <w:t>一、</w:t>
      </w:r>
      <w:r>
        <w:rPr>
          <w:sz w:val="24"/>
        </w:rPr>
        <w:t>项目内容</w:t>
      </w:r>
      <w:r>
        <w:rPr>
          <w:sz w:val="24"/>
        </w:rPr>
        <w:t>（请按实际情况在所选内容</w:t>
      </w:r>
      <w:r>
        <w:rPr>
          <w:sz w:val="24"/>
        </w:rPr>
        <w:t>“□”</w:t>
      </w:r>
      <w:r>
        <w:rPr>
          <w:sz w:val="24"/>
        </w:rPr>
        <w:t>划</w:t>
      </w:r>
      <w:r>
        <w:rPr>
          <w:sz w:val="24"/>
        </w:rPr>
        <w:t>“√”</w:t>
      </w:r>
      <w:r>
        <w:rPr>
          <w:sz w:val="24"/>
        </w:rPr>
        <w:t>，未选选项划</w:t>
      </w:r>
      <w:r>
        <w:rPr>
          <w:sz w:val="24"/>
        </w:rPr>
        <w:t>“×”</w:t>
      </w:r>
      <w:r>
        <w:rPr>
          <w:sz w:val="24"/>
        </w:rPr>
        <w:t>。）</w:t>
      </w:r>
    </w:p>
    <w:p>
      <w:pPr>
        <w:ind w:firstLine="480"/>
        <w:jc w:val="left"/>
      </w:pPr>
      <w:r>
        <w:rPr>
          <w:sz w:val="24"/>
        </w:rPr>
        <w:t>甲方委托乙方根据广州市街</w:t>
      </w:r>
      <w:r>
        <w:rPr>
          <w:sz w:val="24"/>
        </w:rPr>
        <w:t>（</w:t>
      </w:r>
      <w:r>
        <w:rPr>
          <w:sz w:val="24"/>
        </w:rPr>
        <w:t>镇</w:t>
      </w:r>
      <w:r>
        <w:rPr>
          <w:sz w:val="24"/>
        </w:rPr>
        <w:t>）</w:t>
      </w:r>
      <w:r>
        <w:rPr>
          <w:sz w:val="24"/>
        </w:rPr>
        <w:t>综合养老服务中心（颐康中心）建设提升三年行动方案等相关规定，</w:t>
      </w:r>
      <w:r>
        <w:rPr>
          <w:sz w:val="24"/>
        </w:rPr>
        <w:t>承办</w:t>
      </w:r>
      <w:r>
        <w:rPr>
          <w:sz w:val="21"/>
          <w:u w:val="single"/>
        </w:rPr>
        <w:t xml:space="preserve"> </w:t>
      </w:r>
      <w:r>
        <w:rPr>
          <w:sz w:val="24"/>
          <w:u w:val="single"/>
        </w:rPr>
        <w:t>南沙</w:t>
      </w:r>
      <w:r>
        <w:rPr>
          <w:sz w:val="24"/>
        </w:rPr>
        <w:t>区</w:t>
      </w:r>
      <w:r>
        <w:rPr>
          <w:sz w:val="24"/>
          <w:u w:val="single"/>
        </w:rPr>
        <w:t>龙穴</w:t>
      </w:r>
      <w:r>
        <w:rPr>
          <w:sz w:val="24"/>
        </w:rPr>
        <w:t>街综合养老服务中心</w:t>
      </w:r>
      <w:r>
        <w:rPr>
          <w:sz w:val="24"/>
        </w:rPr>
        <w:t>项目</w:t>
      </w:r>
      <w:r>
        <w:rPr>
          <w:sz w:val="24"/>
        </w:rPr>
        <w:t>，负责：</w:t>
      </w:r>
    </w:p>
    <w:p>
      <w:pPr>
        <w:ind w:firstLine="480"/>
        <w:jc w:val="both"/>
      </w:pPr>
      <w:r>
        <w:rPr>
          <w:sz w:val="24"/>
        </w:rPr>
        <w:t>□1.1</w:t>
      </w:r>
      <w:r>
        <w:rPr>
          <w:sz w:val="24"/>
          <w:u w:val="single"/>
        </w:rPr>
        <w:t>南沙</w:t>
      </w:r>
      <w:r>
        <w:rPr>
          <w:sz w:val="24"/>
        </w:rPr>
        <w:t>区</w:t>
      </w:r>
      <w:r>
        <w:rPr>
          <w:sz w:val="24"/>
          <w:u w:val="single"/>
        </w:rPr>
        <w:t>龙穴</w:t>
      </w:r>
      <w:r>
        <w:rPr>
          <w:sz w:val="24"/>
        </w:rPr>
        <w:t>街综合养老服务中心的</w:t>
      </w:r>
      <w:r>
        <w:rPr>
          <w:sz w:val="24"/>
        </w:rPr>
        <w:t>□</w:t>
      </w:r>
      <w:r>
        <w:rPr>
          <w:sz w:val="24"/>
        </w:rPr>
        <w:t>建设、</w:t>
      </w:r>
      <w:r>
        <w:rPr>
          <w:sz w:val="24"/>
        </w:rPr>
        <w:t>☑</w:t>
      </w:r>
      <w:r>
        <w:rPr>
          <w:sz w:val="24"/>
        </w:rPr>
        <w:t>运营、</w:t>
      </w:r>
      <w:r>
        <w:rPr>
          <w:sz w:val="24"/>
        </w:rPr>
        <w:t>□</w:t>
      </w:r>
      <w:r>
        <w:rPr>
          <w:sz w:val="24"/>
        </w:rPr>
        <w:t>其他：</w:t>
      </w:r>
      <w:r>
        <w:rPr>
          <w:sz w:val="21"/>
          <w:u w:val="single"/>
        </w:rPr>
        <w:t xml:space="preserve">                      </w:t>
      </w:r>
      <w:r>
        <w:rPr>
          <w:sz w:val="24"/>
        </w:rPr>
        <w:t>；</w:t>
      </w:r>
    </w:p>
    <w:p>
      <w:pPr>
        <w:ind w:firstLine="480"/>
        <w:jc w:val="left"/>
      </w:pPr>
      <w:r>
        <w:rPr>
          <w:sz w:val="24"/>
        </w:rPr>
        <w:t>乙方应当于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日前完成场地建设及设备设施配置，并于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日前投入使用。</w:t>
      </w:r>
    </w:p>
    <w:p>
      <w:pPr>
        <w:ind w:firstLine="480"/>
        <w:jc w:val="left"/>
      </w:pPr>
      <w:r>
        <w:rPr>
          <w:sz w:val="24"/>
        </w:rPr>
        <w:t>□1.2</w:t>
      </w:r>
      <w:r>
        <w:rPr>
          <w:sz w:val="21"/>
          <w:u w:val="single"/>
        </w:rPr>
        <w:t xml:space="preserve">      </w:t>
      </w:r>
      <w:r>
        <w:rPr>
          <w:sz w:val="24"/>
        </w:rPr>
        <w:t>街（镇）</w:t>
      </w:r>
      <w:r>
        <w:rPr>
          <w:sz w:val="21"/>
          <w:u w:val="single"/>
        </w:rPr>
        <w:t xml:space="preserve">            </w:t>
      </w:r>
      <w:r>
        <w:rPr>
          <w:sz w:val="24"/>
        </w:rPr>
        <w:t>村</w:t>
      </w:r>
      <w:r>
        <w:rPr>
          <w:sz w:val="24"/>
        </w:rPr>
        <w:t>(</w:t>
      </w:r>
      <w:r>
        <w:rPr>
          <w:sz w:val="24"/>
        </w:rPr>
        <w:t>居</w:t>
      </w:r>
      <w:r>
        <w:rPr>
          <w:sz w:val="24"/>
        </w:rPr>
        <w:t>)</w:t>
      </w:r>
      <w:r>
        <w:rPr>
          <w:sz w:val="24"/>
        </w:rPr>
        <w:t>颐康服务站的</w:t>
      </w:r>
      <w:r>
        <w:rPr>
          <w:sz w:val="24"/>
        </w:rPr>
        <w:t>□</w:t>
      </w:r>
      <w:r>
        <w:rPr>
          <w:sz w:val="24"/>
        </w:rPr>
        <w:t>建设、</w:t>
      </w:r>
      <w:r>
        <w:rPr>
          <w:sz w:val="24"/>
        </w:rPr>
        <w:t>□</w:t>
      </w:r>
      <w:r>
        <w:rPr>
          <w:sz w:val="24"/>
        </w:rPr>
        <w:t>运营、</w:t>
      </w:r>
      <w:r>
        <w:rPr>
          <w:sz w:val="24"/>
        </w:rPr>
        <w:t>□</w:t>
      </w:r>
      <w:r>
        <w:rPr>
          <w:sz w:val="24"/>
        </w:rPr>
        <w:t>其他：</w:t>
      </w:r>
      <w:r>
        <w:rPr>
          <w:sz w:val="21"/>
          <w:u w:val="single"/>
        </w:rPr>
        <w:t xml:space="preserve">                       </w:t>
      </w:r>
      <w:r>
        <w:rPr>
          <w:sz w:val="24"/>
        </w:rPr>
        <w:t>；</w:t>
      </w:r>
    </w:p>
    <w:p>
      <w:pPr>
        <w:ind w:firstLine="480"/>
        <w:jc w:val="left"/>
      </w:pPr>
      <w:r>
        <w:rPr>
          <w:sz w:val="24"/>
        </w:rPr>
        <w:t>乙方应当于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日前完成场地建设及设备设施配置，并于</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日前投入使用。</w:t>
      </w:r>
    </w:p>
    <w:p>
      <w:pPr>
        <w:ind w:firstLine="480"/>
        <w:jc w:val="left"/>
      </w:pPr>
      <w:r>
        <w:rPr>
          <w:sz w:val="24"/>
        </w:rPr>
        <w:t>二、项目要求</w:t>
      </w:r>
    </w:p>
    <w:p>
      <w:pPr>
        <w:ind w:firstLine="480"/>
        <w:jc w:val="left"/>
      </w:pPr>
      <w:r>
        <w:rPr>
          <w:sz w:val="24"/>
        </w:rPr>
        <w:t>乙方承办</w:t>
      </w:r>
      <w:r>
        <w:rPr>
          <w:sz w:val="24"/>
          <w:u w:val="single"/>
        </w:rPr>
        <w:t>南沙</w:t>
      </w:r>
      <w:r>
        <w:rPr>
          <w:sz w:val="24"/>
        </w:rPr>
        <w:t>区</w:t>
      </w:r>
      <w:r>
        <w:rPr>
          <w:sz w:val="24"/>
          <w:u w:val="single"/>
        </w:rPr>
        <w:t>龙穴</w:t>
      </w:r>
      <w:r>
        <w:rPr>
          <w:sz w:val="24"/>
        </w:rPr>
        <w:t>街</w:t>
      </w:r>
      <w:r>
        <w:rPr>
          <w:sz w:val="24"/>
          <w:u w:val="single"/>
        </w:rPr>
        <w:t>综合养老服务中心</w:t>
      </w:r>
      <w:r>
        <w:rPr>
          <w:sz w:val="24"/>
          <w:u w:val="single"/>
        </w:rPr>
        <w:t>运营项目</w:t>
      </w:r>
      <w:r>
        <w:rPr>
          <w:sz w:val="24"/>
        </w:rPr>
        <w:t>应当按照规定向老年人提供下列服务：</w:t>
      </w:r>
    </w:p>
    <w:p>
      <w:pPr>
        <w:ind w:firstLine="480"/>
        <w:jc w:val="both"/>
      </w:pPr>
      <w:r>
        <w:rPr>
          <w:sz w:val="24"/>
        </w:rPr>
        <w:t>2.1严格按照《广州市社区居家养老服务管理办法》和广州市地方标准《社区居家养老服务规范》的要求开展服务。</w:t>
      </w:r>
    </w:p>
    <w:p>
      <w:pPr>
        <w:ind w:firstLine="480"/>
        <w:jc w:val="left"/>
      </w:pPr>
      <w:r>
        <w:rPr>
          <w:sz w:val="24"/>
        </w:rPr>
        <w:t>2.2 为</w:t>
      </w:r>
      <w:r>
        <w:rPr>
          <w:sz w:val="24"/>
        </w:rPr>
        <w:t>有需要的老年人提供</w:t>
      </w:r>
      <w:r>
        <w:rPr>
          <w:sz w:val="24"/>
        </w:rPr>
        <w:t>全托（含短期照料）、日托、上门服务；</w:t>
      </w:r>
    </w:p>
    <w:p>
      <w:pPr>
        <w:jc w:val="left"/>
      </w:pPr>
      <w:r>
        <w:rPr>
          <w:b/>
          <w:sz w:val="24"/>
        </w:rPr>
        <w:t xml:space="preserve">  </w:t>
      </w:r>
      <w:r>
        <w:rPr>
          <w:b/>
          <w:sz w:val="24"/>
        </w:rPr>
        <w:t>2.3 为有需要的老年人，重点是失能（失智）老年人提供覆盖全生命周期的一站式和到户式综合养老服务；</w:t>
      </w:r>
    </w:p>
    <w:p>
      <w:pPr>
        <w:ind w:firstLine="480"/>
        <w:jc w:val="both"/>
      </w:pPr>
      <w:r>
        <w:rPr>
          <w:sz w:val="24"/>
        </w:rPr>
        <w:t>2.4 ★助餐配餐服务。在提供助餐配餐（长者饭堂运营）服务项目，采购人要求供应商配备一辆四轮电动的送餐车，在签订合同或委托协议后，30天配备到位。统筹设置养老机构食堂和长者饭堂，为全托、日托和周边社区老年人提供助餐配餐服务；</w:t>
      </w:r>
    </w:p>
    <w:p>
      <w:pPr>
        <w:ind w:firstLine="480"/>
        <w:jc w:val="left"/>
      </w:pPr>
      <w:r>
        <w:rPr>
          <w:sz w:val="24"/>
        </w:rPr>
        <w:t>2.5 医康养结合服务。设置独立法人的护理站或与周边护理站合作，提供基础护理、专科护理、消毒隔离技术指导、营养指导、社区康复指导、健康宣教和其他护理服务；设立医务室或与周边医疗机构合作，提供健康管理、转诊转介、预防保健等基本服务，依法提供上门和对外服务；为医疗机构术后康复期内的老年人提供康复照护服务；有条件的，应当设置认知症照护专区；</w:t>
      </w:r>
    </w:p>
    <w:p>
      <w:pPr>
        <w:ind w:firstLine="480"/>
        <w:jc w:val="left"/>
      </w:pPr>
      <w:r>
        <w:rPr>
          <w:sz w:val="24"/>
        </w:rPr>
        <w:t>2.6 家政养老服务。强化与羊城家政基层服务站功能互补、服务转介，为全托、日托和周边社区居家老年人提供生活照料、家居清洁、衣被清洗、代购、助医、助药、助浴、陪护等养老服务，拓展服务项目，优化服务内容，提升服务质量；</w:t>
      </w:r>
    </w:p>
    <w:p>
      <w:pPr>
        <w:ind w:firstLine="480"/>
        <w:jc w:val="left"/>
      </w:pPr>
      <w:r>
        <w:rPr>
          <w:sz w:val="24"/>
        </w:rPr>
        <w:t>2.7 居家适老化服务。以满足老年人居家生活照料、起居行走、康复护理等需求为核心，为有需求的居家老年人进行适老化和智能化家居改造，改善居家生活照护条件，增强居家生活设施设备安全性、便利性和舒适性，提升居家养老服务品质；</w:t>
      </w:r>
    </w:p>
    <w:p>
      <w:pPr>
        <w:ind w:firstLine="480"/>
        <w:jc w:val="left"/>
      </w:pPr>
      <w:r>
        <w:rPr>
          <w:sz w:val="24"/>
        </w:rPr>
        <w:t>2.8 家庭养老床位。为有专业养老服务需求的居家老年人进行必要的适老化和智能化家居改造，纳入每天24小时动态管理和远程监护，并根据需求提供紧急援助、生活照料、康复护理等与床位相配套的全天候、全方位居家照顾服务；</w:t>
      </w:r>
    </w:p>
    <w:p>
      <w:pPr>
        <w:ind w:firstLine="480"/>
        <w:jc w:val="left"/>
      </w:pPr>
      <w:r>
        <w:rPr>
          <w:sz w:val="24"/>
        </w:rPr>
        <w:t>2.9 智慧养老服务。在街（镇）综合养老服务中心（颐康中心）和村居颐康服务站设置为老服务综合信息平台电子设备终端，实现咨询、申请受理、资源调配、质量监管等功能。建立“平安通”运营机构与街（镇）综合养老服务中心（颐康中心）服务转介机制，为老年人提供“线上+线下”联动的专业化智慧养老服务。加强智能机器人、康复辅具等智能化养老产品用品运用，提升科技含量。依托市为老服务综合平台、市居家综合养老信息服务平台及互联网、物联网等网络手段和电子设备终端，为老人提供紧急救援、安全防范、电子围栏、烟雾报警、跌倒报警、远程照护等智慧养老服务；</w:t>
      </w:r>
    </w:p>
    <w:p>
      <w:pPr>
        <w:ind w:firstLine="480"/>
        <w:jc w:val="left"/>
      </w:pPr>
      <w:r>
        <w:rPr>
          <w:sz w:val="24"/>
        </w:rPr>
        <w:t>2.10 统筹指导。统筹整合辖区内各类为老服务资源，为颐康服务站等村居养老服务设施提供业务指导、人员培训、资源调配等服务；为失能老年人家属开展养老照护培训，为老年人开展居家安防等培训；定期开展护老者和老年人培训，动员社区开展邻里关怀、志愿服务，提升家庭养老功能；</w:t>
      </w:r>
    </w:p>
    <w:p>
      <w:pPr>
        <w:ind w:firstLine="480"/>
        <w:jc w:val="left"/>
      </w:pPr>
      <w:r>
        <w:rPr>
          <w:sz w:val="24"/>
        </w:rPr>
        <w:t>2.11 供需对接。设置咨询服务台和“养老服务向导”，为辖区老年人提供养老政策咨询、服务查询、办事指引、方案制定、服务转介等服务，发挥供需对接、服务引导等作用；</w:t>
      </w:r>
    </w:p>
    <w:p>
      <w:pPr>
        <w:ind w:firstLine="480"/>
        <w:jc w:val="left"/>
      </w:pPr>
      <w:r>
        <w:rPr>
          <w:sz w:val="24"/>
        </w:rPr>
        <w:t>2.12 提供辅具租赁服务。向社区老年人展示推广养老辅具等产品用品，并提供租赁服务；</w:t>
      </w:r>
    </w:p>
    <w:p>
      <w:pPr>
        <w:ind w:firstLine="480"/>
        <w:jc w:val="left"/>
      </w:pPr>
      <w:r>
        <w:rPr>
          <w:sz w:val="24"/>
        </w:rPr>
        <w:t>2.13 政府或者上级部门对于项目服务形式及内容有调整的，乙方应当予以落实执行。</w:t>
      </w:r>
    </w:p>
    <w:p>
      <w:pPr>
        <w:ind w:firstLine="480"/>
        <w:jc w:val="both"/>
      </w:pPr>
      <w:r>
        <w:rPr>
          <w:sz w:val="24"/>
        </w:rPr>
        <w:t>2.14 对辖区内老年人的服务覆盖率达到100%。</w:t>
      </w:r>
    </w:p>
    <w:p>
      <w:pPr>
        <w:ind w:firstLine="480"/>
        <w:jc w:val="both"/>
      </w:pPr>
      <w:r>
        <w:rPr>
          <w:sz w:val="24"/>
        </w:rPr>
        <w:t>2.15 能够根据服务对象的实际需求制订详细具体的服务方案，并做好服务记录。</w:t>
      </w:r>
    </w:p>
    <w:p>
      <w:pPr>
        <w:ind w:firstLine="480"/>
        <w:jc w:val="both"/>
      </w:pPr>
      <w:r>
        <w:rPr>
          <w:sz w:val="24"/>
        </w:rPr>
        <w:t>2.17 服务项目完成率达到100%，服务对象满意率达到80%及以上。</w:t>
      </w:r>
    </w:p>
    <w:p>
      <w:pPr>
        <w:ind w:firstLine="480"/>
      </w:pPr>
      <w:r>
        <w:rPr>
          <w:sz w:val="24"/>
        </w:rPr>
        <w:t>2.18完成街道下达的工作任务。</w:t>
      </w:r>
    </w:p>
    <w:p>
      <w:pPr>
        <w:ind w:firstLine="480"/>
        <w:jc w:val="left"/>
      </w:pPr>
      <w:r>
        <w:rPr>
          <w:sz w:val="24"/>
        </w:rPr>
        <w:t>三、项目场地来源</w:t>
      </w:r>
      <w:r>
        <w:rPr>
          <w:sz w:val="24"/>
        </w:rPr>
        <w:t>（请按实际情况在所选内容</w:t>
      </w:r>
      <w:r>
        <w:rPr>
          <w:sz w:val="24"/>
        </w:rPr>
        <w:t>“□”</w:t>
      </w:r>
      <w:r>
        <w:rPr>
          <w:sz w:val="24"/>
        </w:rPr>
        <w:t>划</w:t>
      </w:r>
      <w:r>
        <w:rPr>
          <w:sz w:val="24"/>
        </w:rPr>
        <w:t>“√”</w:t>
      </w:r>
      <w:r>
        <w:rPr>
          <w:sz w:val="24"/>
        </w:rPr>
        <w:t>，未选选项划</w:t>
      </w:r>
      <w:r>
        <w:rPr>
          <w:sz w:val="24"/>
        </w:rPr>
        <w:t>“×”</w:t>
      </w:r>
      <w:r>
        <w:rPr>
          <w:sz w:val="24"/>
        </w:rPr>
        <w:t>。）</w:t>
      </w:r>
    </w:p>
    <w:p>
      <w:pPr>
        <w:ind w:firstLine="480"/>
        <w:jc w:val="both"/>
      </w:pPr>
      <w:r>
        <w:rPr>
          <w:sz w:val="24"/>
        </w:rPr>
        <w:t>□3.1</w:t>
      </w:r>
      <w:r>
        <w:rPr>
          <w:sz w:val="24"/>
        </w:rPr>
        <w:t>乙方提供自有场地（包括自有产权或通过租赁等方式已获得场地使用权）（地址：</w:t>
      </w:r>
      <w:r>
        <w:rPr>
          <w:sz w:val="21"/>
          <w:u w:val="single"/>
        </w:rPr>
        <w:t xml:space="preserve">                      </w:t>
      </w:r>
      <w:r>
        <w:rPr>
          <w:sz w:val="24"/>
        </w:rPr>
        <w:t>面积</w:t>
      </w:r>
      <w:r>
        <w:rPr>
          <w:sz w:val="24"/>
        </w:rPr>
        <w:t>m²</w:t>
      </w:r>
      <w:r>
        <w:rPr>
          <w:sz w:val="24"/>
        </w:rPr>
        <w:t>）</w:t>
      </w:r>
      <w:r>
        <w:rPr>
          <w:sz w:val="24"/>
        </w:rPr>
        <w:t>,</w:t>
      </w:r>
      <w:r>
        <w:rPr>
          <w:sz w:val="24"/>
        </w:rPr>
        <w:t>承办</w:t>
      </w:r>
      <w:r>
        <w:rPr>
          <w:sz w:val="21"/>
          <w:u w:val="single"/>
        </w:rPr>
        <w:t xml:space="preserve">        </w:t>
      </w:r>
      <w:r>
        <w:rPr>
          <w:sz w:val="24"/>
        </w:rPr>
        <w:t>区</w:t>
      </w:r>
      <w:r>
        <w:rPr>
          <w:sz w:val="21"/>
          <w:u w:val="single"/>
        </w:rPr>
        <w:t xml:space="preserve">       </w:t>
      </w:r>
      <w:r>
        <w:rPr>
          <w:sz w:val="24"/>
        </w:rPr>
        <w:t>街（镇）</w:t>
      </w:r>
      <w:r>
        <w:rPr>
          <w:sz w:val="24"/>
        </w:rPr>
        <w:t>综合养老服务中心（颐康中心）项目</w:t>
      </w:r>
      <w:r>
        <w:rPr>
          <w:sz w:val="24"/>
        </w:rPr>
        <w:t>；</w:t>
      </w:r>
    </w:p>
    <w:p>
      <w:pPr>
        <w:ind w:firstLine="480"/>
        <w:jc w:val="both"/>
      </w:pPr>
      <w:r>
        <w:rPr>
          <w:sz w:val="24"/>
        </w:rPr>
        <w:t>☑</w:t>
      </w:r>
      <w:r>
        <w:rPr>
          <w:sz w:val="24"/>
        </w:rPr>
        <w:t>3.2</w:t>
      </w:r>
      <w:r>
        <w:rPr>
          <w:sz w:val="24"/>
        </w:rPr>
        <w:t>乙方使用甲方提供的场地（地址：</w:t>
      </w:r>
      <w:r>
        <w:rPr>
          <w:sz w:val="24"/>
          <w:u w:val="single"/>
        </w:rPr>
        <w:t>广州市南沙区龙穴街龙穴路</w:t>
      </w:r>
      <w:r>
        <w:rPr>
          <w:sz w:val="24"/>
          <w:u w:val="single"/>
        </w:rPr>
        <w:t>38</w:t>
      </w:r>
      <w:r>
        <w:rPr>
          <w:sz w:val="24"/>
          <w:u w:val="single"/>
        </w:rPr>
        <w:t>号、</w:t>
      </w:r>
      <w:r>
        <w:rPr>
          <w:sz w:val="24"/>
          <w:u w:val="single"/>
        </w:rPr>
        <w:t>40</w:t>
      </w:r>
      <w:r>
        <w:rPr>
          <w:sz w:val="24"/>
          <w:u w:val="single"/>
        </w:rPr>
        <w:t>号、</w:t>
      </w:r>
      <w:r>
        <w:rPr>
          <w:sz w:val="24"/>
          <w:u w:val="single"/>
        </w:rPr>
        <w:t>42</w:t>
      </w:r>
      <w:r>
        <w:rPr>
          <w:sz w:val="24"/>
          <w:u w:val="single"/>
        </w:rPr>
        <w:t>号、</w:t>
      </w:r>
      <w:r>
        <w:rPr>
          <w:sz w:val="24"/>
          <w:u w:val="single"/>
        </w:rPr>
        <w:t>44</w:t>
      </w:r>
      <w:r>
        <w:rPr>
          <w:sz w:val="24"/>
          <w:u w:val="single"/>
        </w:rPr>
        <w:t>号</w:t>
      </w:r>
    </w:p>
    <w:p>
      <w:pPr>
        <w:ind w:firstLine="480"/>
        <w:jc w:val="both"/>
      </w:pPr>
      <w:r>
        <w:rPr>
          <w:sz w:val="24"/>
        </w:rPr>
        <w:t>面积</w:t>
      </w:r>
      <w:r>
        <w:rPr>
          <w:sz w:val="24"/>
          <w:u w:val="single"/>
        </w:rPr>
        <w:t xml:space="preserve">1008  </w:t>
      </w:r>
      <w:r>
        <w:rPr>
          <w:sz w:val="24"/>
        </w:rPr>
        <w:t>m²</w:t>
      </w:r>
      <w:r>
        <w:rPr>
          <w:sz w:val="24"/>
        </w:rPr>
        <w:t>）</w:t>
      </w:r>
      <w:r>
        <w:rPr>
          <w:sz w:val="24"/>
        </w:rPr>
        <w:t>,</w:t>
      </w:r>
      <w:r>
        <w:rPr>
          <w:sz w:val="24"/>
        </w:rPr>
        <w:t>承办</w:t>
      </w:r>
      <w:r>
        <w:rPr>
          <w:sz w:val="21"/>
          <w:u w:val="single"/>
        </w:rPr>
        <w:t xml:space="preserve"> </w:t>
      </w:r>
      <w:r>
        <w:rPr>
          <w:sz w:val="24"/>
          <w:u w:val="single"/>
        </w:rPr>
        <w:t>南沙</w:t>
      </w:r>
      <w:r>
        <w:rPr>
          <w:sz w:val="21"/>
          <w:u w:val="single"/>
        </w:rPr>
        <w:t xml:space="preserve"> </w:t>
      </w:r>
      <w:r>
        <w:rPr>
          <w:sz w:val="24"/>
        </w:rPr>
        <w:t>区</w:t>
      </w:r>
      <w:r>
        <w:rPr>
          <w:sz w:val="21"/>
          <w:u w:val="single"/>
        </w:rPr>
        <w:t xml:space="preserve">  </w:t>
      </w:r>
      <w:r>
        <w:rPr>
          <w:sz w:val="24"/>
          <w:u w:val="single"/>
        </w:rPr>
        <w:t>龙穴</w:t>
      </w:r>
      <w:r>
        <w:rPr>
          <w:sz w:val="21"/>
          <w:u w:val="single"/>
        </w:rPr>
        <w:t xml:space="preserve"> </w:t>
      </w:r>
      <w:r>
        <w:rPr>
          <w:sz w:val="24"/>
        </w:rPr>
        <w:t>街</w:t>
      </w:r>
      <w:r>
        <w:rPr>
          <w:sz w:val="24"/>
        </w:rPr>
        <w:t>综合养老服务中心</w:t>
      </w:r>
      <w:r>
        <w:rPr>
          <w:sz w:val="24"/>
        </w:rPr>
        <w:t>运营</w:t>
      </w:r>
      <w:r>
        <w:rPr>
          <w:sz w:val="24"/>
        </w:rPr>
        <w:t>项目。乙方应当于本合同项目届满后将场地移交给甲方</w:t>
      </w:r>
      <w:r>
        <w:rPr>
          <w:sz w:val="24"/>
        </w:rPr>
        <w:t>；</w:t>
      </w:r>
    </w:p>
    <w:p>
      <w:pPr>
        <w:ind w:firstLine="480"/>
        <w:jc w:val="both"/>
      </w:pPr>
      <w:r>
        <w:rPr>
          <w:sz w:val="24"/>
        </w:rPr>
        <w:t>□3.3</w:t>
      </w:r>
      <w:r>
        <w:rPr>
          <w:sz w:val="24"/>
        </w:rPr>
        <w:t>其他</w:t>
      </w:r>
      <w:r>
        <w:rPr>
          <w:sz w:val="21"/>
          <w:u w:val="single"/>
        </w:rPr>
        <w:t xml:space="preserve">                                </w:t>
      </w:r>
      <w:r>
        <w:rPr>
          <w:sz w:val="24"/>
        </w:rPr>
        <w:t>。</w:t>
      </w:r>
    </w:p>
    <w:p>
      <w:pPr>
        <w:ind w:firstLine="480"/>
        <w:jc w:val="left"/>
      </w:pPr>
      <w:r>
        <w:rPr>
          <w:sz w:val="24"/>
        </w:rPr>
        <w:t>四、项目费用及支付</w:t>
      </w:r>
      <w:r>
        <w:rPr>
          <w:sz w:val="24"/>
        </w:rPr>
        <w:t>（请按实际情况在所选内容</w:t>
      </w:r>
      <w:r>
        <w:rPr>
          <w:sz w:val="24"/>
        </w:rPr>
        <w:t>“□”</w:t>
      </w:r>
      <w:r>
        <w:rPr>
          <w:sz w:val="24"/>
        </w:rPr>
        <w:t>划</w:t>
      </w:r>
      <w:r>
        <w:rPr>
          <w:sz w:val="24"/>
        </w:rPr>
        <w:t>“√”</w:t>
      </w:r>
      <w:r>
        <w:rPr>
          <w:sz w:val="24"/>
        </w:rPr>
        <w:t>，未选选项划</w:t>
      </w:r>
      <w:r>
        <w:rPr>
          <w:sz w:val="24"/>
        </w:rPr>
        <w:t>“×”</w:t>
      </w:r>
      <w:r>
        <w:rPr>
          <w:sz w:val="24"/>
        </w:rPr>
        <w:t>。）</w:t>
      </w:r>
    </w:p>
    <w:p>
      <w:pPr>
        <w:ind w:firstLine="480"/>
        <w:jc w:val="left"/>
      </w:pPr>
      <w:r>
        <w:rPr>
          <w:sz w:val="24"/>
        </w:rPr>
        <w:t>4.1</w:t>
      </w:r>
      <w:r>
        <w:rPr>
          <w:sz w:val="24"/>
        </w:rPr>
        <w:t>项目费用。</w:t>
      </w:r>
    </w:p>
    <w:p>
      <w:pPr>
        <w:ind w:firstLine="480"/>
        <w:jc w:val="left"/>
      </w:pPr>
      <w:r>
        <w:rPr>
          <w:sz w:val="24"/>
        </w:rPr>
        <w:t>☑</w:t>
      </w:r>
      <w:r>
        <w:rPr>
          <w:sz w:val="24"/>
        </w:rPr>
        <w:t>4.1.1</w:t>
      </w:r>
      <w:r>
        <w:rPr>
          <w:sz w:val="24"/>
        </w:rPr>
        <w:t>本项目</w:t>
      </w:r>
      <w:r>
        <w:rPr>
          <w:sz w:val="24"/>
        </w:rPr>
        <w:t>本项目总经费</w:t>
      </w:r>
      <w:r>
        <w:rPr>
          <w:sz w:val="24"/>
        </w:rPr>
        <w:t>130万元（大写：壹佰叁拾万元整），服务期2年，每年65万元，以每年一签的形式签订服务合同或委托服务协议书。每年合同期分4次支付运营项目经费。</w:t>
      </w:r>
    </w:p>
    <w:p>
      <w:pPr>
        <w:ind w:firstLine="480"/>
        <w:jc w:val="left"/>
      </w:pPr>
      <w:r>
        <w:rPr>
          <w:sz w:val="24"/>
        </w:rPr>
        <w:t>□4.1.2</w:t>
      </w:r>
      <w:r>
        <w:rPr>
          <w:sz w:val="24"/>
        </w:rPr>
        <w:t>本项目不涉及费用。</w:t>
      </w:r>
    </w:p>
    <w:p>
      <w:pPr>
        <w:ind w:firstLine="480"/>
        <w:jc w:val="left"/>
      </w:pPr>
      <w:r>
        <w:rPr>
          <w:sz w:val="24"/>
        </w:rPr>
        <w:t>4.2.</w:t>
      </w:r>
      <w:r>
        <w:rPr>
          <w:sz w:val="24"/>
        </w:rPr>
        <w:t>费用支付。</w:t>
      </w:r>
    </w:p>
    <w:p>
      <w:pPr>
        <w:ind w:firstLine="480"/>
        <w:jc w:val="left"/>
      </w:pPr>
      <w:r>
        <w:rPr>
          <w:sz w:val="24"/>
        </w:rPr>
        <w:t>☑</w:t>
      </w:r>
      <w:r>
        <w:rPr>
          <w:sz w:val="24"/>
        </w:rPr>
        <w:t>4.2.1</w:t>
      </w:r>
      <w:r>
        <w:rPr>
          <w:sz w:val="24"/>
        </w:rPr>
        <w:t>甲方按照下列方式分期向乙方支付项目费用：</w:t>
      </w:r>
    </w:p>
    <w:p>
      <w:pPr>
        <w:ind w:firstLine="480"/>
        <w:jc w:val="both"/>
      </w:pPr>
      <w:r>
        <w:rPr>
          <w:sz w:val="24"/>
        </w:rPr>
        <w:t>第一次付款方式：从签订服务合同或委托服务协议书的服务期之日起，甲方在</w:t>
      </w:r>
      <w:r>
        <w:rPr>
          <w:sz w:val="24"/>
        </w:rPr>
        <w:t>2022年11月底前完成支付运营项目经费人民币</w:t>
      </w:r>
      <w:r>
        <w:rPr>
          <w:sz w:val="21"/>
          <w:u w:val="single"/>
        </w:rPr>
        <w:t xml:space="preserve">   </w:t>
      </w:r>
      <w:r>
        <w:rPr>
          <w:sz w:val="24"/>
        </w:rPr>
        <w:t>元（大写：</w:t>
      </w:r>
      <w:r>
        <w:rPr>
          <w:sz w:val="21"/>
          <w:u w:val="single"/>
        </w:rPr>
        <w:t xml:space="preserve">   </w:t>
      </w:r>
      <w:r>
        <w:rPr>
          <w:sz w:val="24"/>
        </w:rPr>
        <w:t>）。</w:t>
      </w:r>
    </w:p>
    <w:p>
      <w:pPr>
        <w:ind w:firstLine="480"/>
        <w:jc w:val="both"/>
      </w:pPr>
      <w:r>
        <w:rPr>
          <w:sz w:val="24"/>
        </w:rPr>
        <w:t>第二次付款方式：支付项目运营经费人民币</w:t>
      </w:r>
      <w:r>
        <w:rPr>
          <w:sz w:val="21"/>
          <w:u w:val="single"/>
        </w:rPr>
        <w:t xml:space="preserve">   </w:t>
      </w:r>
      <w:r>
        <w:rPr>
          <w:sz w:val="24"/>
        </w:rPr>
        <w:t>元（大写：</w:t>
      </w:r>
      <w:r>
        <w:rPr>
          <w:sz w:val="21"/>
          <w:u w:val="single"/>
        </w:rPr>
        <w:t xml:space="preserve">   </w:t>
      </w:r>
      <w:r>
        <w:rPr>
          <w:sz w:val="24"/>
        </w:rPr>
        <w:t>）。甲方在</w:t>
      </w:r>
      <w:r>
        <w:rPr>
          <w:sz w:val="24"/>
        </w:rPr>
        <w:t>2023年3月底前完成支付手续。</w:t>
      </w:r>
    </w:p>
    <w:p>
      <w:pPr>
        <w:ind w:firstLine="480"/>
        <w:jc w:val="both"/>
      </w:pPr>
      <w:r>
        <w:rPr>
          <w:sz w:val="24"/>
        </w:rPr>
        <w:t>第三次付款方式：支付项目运营经费人民币</w:t>
      </w:r>
      <w:r>
        <w:rPr>
          <w:sz w:val="21"/>
          <w:u w:val="single"/>
        </w:rPr>
        <w:t xml:space="preserve">   </w:t>
      </w:r>
      <w:r>
        <w:rPr>
          <w:sz w:val="24"/>
        </w:rPr>
        <w:t>元（大写：</w:t>
      </w:r>
      <w:r>
        <w:rPr>
          <w:sz w:val="21"/>
          <w:u w:val="single"/>
        </w:rPr>
        <w:t xml:space="preserve">   </w:t>
      </w:r>
      <w:r>
        <w:rPr>
          <w:sz w:val="24"/>
        </w:rPr>
        <w:t>）。甲方在</w:t>
      </w:r>
      <w:r>
        <w:rPr>
          <w:sz w:val="24"/>
        </w:rPr>
        <w:t>2023年9月底前完成支付手续。</w:t>
      </w:r>
    </w:p>
    <w:p>
      <w:pPr>
        <w:ind w:firstLine="480"/>
      </w:pPr>
      <w:r>
        <w:rPr>
          <w:sz w:val="24"/>
        </w:rPr>
        <w:t>第四次付款方式：支付项目运营经费人民币</w:t>
      </w:r>
      <w:r>
        <w:rPr>
          <w:u w:val="single"/>
        </w:rPr>
        <w:t xml:space="preserve">   </w:t>
      </w:r>
      <w:r>
        <w:rPr>
          <w:sz w:val="24"/>
        </w:rPr>
        <w:t>元（大写：</w:t>
      </w:r>
      <w:r>
        <w:rPr>
          <w:u w:val="single"/>
        </w:rPr>
        <w:t xml:space="preserve">   </w:t>
      </w:r>
      <w:r>
        <w:rPr>
          <w:sz w:val="24"/>
        </w:rPr>
        <w:t>）。甲方在收到末期评估报告后，</w:t>
      </w:r>
      <w:r>
        <w:rPr>
          <w:sz w:val="24"/>
        </w:rPr>
        <w:t>30个工作内办理尾款支付手续。</w:t>
      </w:r>
    </w:p>
    <w:p>
      <w:pPr>
        <w:ind w:firstLine="480"/>
        <w:jc w:val="both"/>
      </w:pPr>
      <w:r>
        <w:rPr>
          <w:sz w:val="24"/>
        </w:rPr>
        <w:t>□4.2.2</w:t>
      </w:r>
      <w:r>
        <w:rPr>
          <w:sz w:val="24"/>
        </w:rPr>
        <w:t>由甲方</w:t>
      </w:r>
      <w:r>
        <w:rPr>
          <w:sz w:val="21"/>
          <w:u w:val="single"/>
        </w:rPr>
        <w:t xml:space="preserve">           </w:t>
      </w:r>
      <w:r>
        <w:rPr>
          <w:sz w:val="24"/>
        </w:rPr>
        <w:t>（一次性、分期）向乙方支付。具体支付方式和时间如下：</w:t>
      </w:r>
      <w:r>
        <w:rPr>
          <w:sz w:val="24"/>
        </w:rPr>
        <w:t xml:space="preserve">  </w:t>
      </w:r>
    </w:p>
    <w:p>
      <w:pPr>
        <w:ind w:firstLine="480"/>
        <w:jc w:val="both"/>
      </w:pPr>
      <w:r>
        <w:rPr>
          <w:sz w:val="24"/>
        </w:rPr>
        <w:t xml:space="preserve">      </w:t>
      </w:r>
      <w:r>
        <w:rPr>
          <w:sz w:val="24"/>
        </w:rPr>
        <w:t>（</w:t>
      </w:r>
      <w:r>
        <w:rPr>
          <w:sz w:val="24"/>
        </w:rPr>
        <w:t>1</w:t>
      </w:r>
      <w:r>
        <w:rPr>
          <w:sz w:val="24"/>
        </w:rPr>
        <w:t>）</w:t>
      </w:r>
      <w:r>
        <w:rPr>
          <w:sz w:val="21"/>
          <w:u w:val="single"/>
        </w:rPr>
        <w:t xml:space="preserve">                                                 </w:t>
      </w:r>
    </w:p>
    <w:p>
      <w:pPr>
        <w:ind w:firstLine="480"/>
        <w:jc w:val="both"/>
      </w:pPr>
      <w:r>
        <w:rPr>
          <w:sz w:val="24"/>
        </w:rPr>
        <w:t xml:space="preserve">      </w:t>
      </w:r>
      <w:r>
        <w:rPr>
          <w:sz w:val="24"/>
        </w:rPr>
        <w:t>（</w:t>
      </w:r>
      <w:r>
        <w:rPr>
          <w:sz w:val="24"/>
        </w:rPr>
        <w:t>2</w:t>
      </w:r>
      <w:r>
        <w:rPr>
          <w:sz w:val="24"/>
        </w:rPr>
        <w:t>）</w:t>
      </w:r>
      <w:r>
        <w:rPr>
          <w:sz w:val="21"/>
          <w:u w:val="single"/>
        </w:rPr>
        <w:t xml:space="preserve">                                                 </w:t>
      </w:r>
    </w:p>
    <w:p>
      <w:pPr>
        <w:ind w:firstLine="480"/>
        <w:jc w:val="both"/>
      </w:pPr>
      <w:r>
        <w:rPr>
          <w:sz w:val="24"/>
        </w:rPr>
        <w:t xml:space="preserve">      </w:t>
      </w:r>
      <w:r>
        <w:rPr>
          <w:sz w:val="24"/>
        </w:rPr>
        <w:t>（</w:t>
      </w:r>
      <w:r>
        <w:rPr>
          <w:sz w:val="24"/>
        </w:rPr>
        <w:t>3</w:t>
      </w:r>
      <w:r>
        <w:rPr>
          <w:sz w:val="24"/>
        </w:rPr>
        <w:t>）</w:t>
      </w:r>
      <w:r>
        <w:rPr>
          <w:sz w:val="21"/>
          <w:u w:val="single"/>
        </w:rPr>
        <w:t xml:space="preserve">                                                 </w:t>
      </w:r>
    </w:p>
    <w:p>
      <w:pPr>
        <w:ind w:firstLine="480"/>
        <w:jc w:val="both"/>
      </w:pPr>
      <w:r>
        <w:rPr>
          <w:sz w:val="24"/>
        </w:rPr>
        <w:t xml:space="preserve">      </w:t>
      </w:r>
      <w:r>
        <w:rPr>
          <w:sz w:val="24"/>
        </w:rPr>
        <w:t>（</w:t>
      </w:r>
      <w:r>
        <w:rPr>
          <w:sz w:val="24"/>
        </w:rPr>
        <w:t>4</w:t>
      </w:r>
      <w:r>
        <w:rPr>
          <w:sz w:val="24"/>
        </w:rPr>
        <w:t>）</w:t>
      </w:r>
      <w:r>
        <w:rPr>
          <w:sz w:val="21"/>
          <w:u w:val="single"/>
        </w:rPr>
        <w:t xml:space="preserve">                                                 </w:t>
      </w:r>
    </w:p>
    <w:p>
      <w:pPr>
        <w:ind w:firstLine="1200"/>
        <w:jc w:val="both"/>
      </w:pPr>
      <w:r>
        <w:rPr>
          <w:sz w:val="24"/>
        </w:rPr>
        <w:t>（</w:t>
      </w:r>
      <w:r>
        <w:rPr>
          <w:sz w:val="24"/>
        </w:rPr>
        <w:t>5</w:t>
      </w:r>
      <w:r>
        <w:rPr>
          <w:sz w:val="24"/>
        </w:rPr>
        <w:t>）</w:t>
      </w:r>
      <w:r>
        <w:rPr>
          <w:sz w:val="21"/>
          <w:u w:val="single"/>
        </w:rPr>
        <w:t xml:space="preserve">                                                 </w:t>
      </w:r>
    </w:p>
    <w:p>
      <w:pPr>
        <w:ind w:firstLine="480"/>
        <w:jc w:val="left"/>
      </w:pPr>
      <w:r>
        <w:rPr>
          <w:sz w:val="24"/>
        </w:rPr>
        <w:t>☑</w:t>
      </w:r>
      <w:r>
        <w:rPr>
          <w:sz w:val="24"/>
        </w:rPr>
        <w:t>4.2.3</w:t>
      </w:r>
      <w:r>
        <w:rPr>
          <w:sz w:val="24"/>
        </w:rPr>
        <w:t>其他支付方式：</w:t>
      </w:r>
    </w:p>
    <w:p>
      <w:pPr>
        <w:ind w:firstLine="482"/>
        <w:jc w:val="both"/>
      </w:pPr>
      <w:r>
        <w:rPr>
          <w:b/>
          <w:sz w:val="24"/>
        </w:rPr>
        <w:t>4.2.3.1 助餐配餐服务（长老饭堂运营）资助相关补贴</w:t>
      </w:r>
    </w:p>
    <w:p>
      <w:pPr>
        <w:ind w:firstLine="480"/>
        <w:jc w:val="both"/>
      </w:pPr>
      <w:r>
        <w:rPr>
          <w:sz w:val="24"/>
        </w:rPr>
        <w:t>乙方提供下列服务项目的，所需费用按以下标准另行结算：</w:t>
      </w:r>
    </w:p>
    <w:p>
      <w:pPr>
        <w:ind w:firstLine="480"/>
        <w:jc w:val="both"/>
      </w:pPr>
      <w:r>
        <w:rPr>
          <w:sz w:val="24"/>
        </w:rPr>
        <w:t>（1）助餐配餐服务</w:t>
      </w:r>
      <w:r>
        <w:rPr>
          <w:sz w:val="24"/>
        </w:rPr>
        <w:t>(长者饭堂运营)的就餐补贴、送餐补贴、运营补贴、临时价格补贴等相关资助的标准是根据《广州市社区居家养老服务管理办法》（穗府办规〔2020〕24号）、《广州市老年人助餐配餐服务管理办法》（穗民规字〔2020〕15号）、《南沙区深化老年人助餐配餐服务工作实施方案》、《关于进一步规范南沙区助餐配餐服务工作的通知》,以及《龙穴街深化老年人助餐配餐服务资金保障方案》等相关文件执行，临时价格资助是区民政局会同区财政、统计等部门根据本市市场不同时间节点的肉类价格，对长者配餐临时补贴进行适时调整，报区政府批准后通知各镇（街）调整或终止该临时补贴，临时价格补贴标准为每人每次3元。若在服务期内相关资助有变动，按照相关最新的政策文件执行。</w:t>
      </w:r>
    </w:p>
    <w:p>
      <w:pPr>
        <w:ind w:firstLine="480"/>
        <w:jc w:val="both"/>
      </w:pPr>
      <w:r>
        <w:rPr>
          <w:sz w:val="24"/>
        </w:rPr>
        <w:t>（</w:t>
      </w:r>
      <w:r>
        <w:rPr>
          <w:sz w:val="24"/>
        </w:rPr>
        <w:t>2）</w:t>
      </w:r>
      <w:r>
        <w:rPr>
          <w:b/>
          <w:sz w:val="24"/>
        </w:rPr>
        <w:t>就餐补贴：</w:t>
      </w:r>
      <w:r>
        <w:rPr>
          <w:sz w:val="24"/>
        </w:rPr>
        <w:t>13元/人次(市级补贴3元/人次,区级补贴2元/人次,街道补贴(或街道慈善补贴)3元/人次,长者个人自费5元/人次）。</w:t>
      </w:r>
    </w:p>
    <w:p>
      <w:pPr>
        <w:ind w:firstLine="482"/>
        <w:jc w:val="both"/>
      </w:pPr>
      <w:r>
        <w:rPr>
          <w:b/>
          <w:sz w:val="24"/>
        </w:rPr>
        <w:t>送餐补贴</w:t>
      </w:r>
      <w:r>
        <w:rPr>
          <w:b/>
          <w:sz w:val="24"/>
        </w:rPr>
        <w:t>:</w:t>
      </w:r>
      <w:r>
        <w:rPr>
          <w:sz w:val="24"/>
        </w:rPr>
        <w:t>照护需求评估等级</w:t>
      </w:r>
      <w:r>
        <w:rPr>
          <w:sz w:val="24"/>
        </w:rPr>
        <w:t>3-5级的老年人可享受送餐上门服务，送餐补贴4元/人次；1-2级的老年人送餐补贴为2元/人次；其他老年人原则上以堂食为主。</w:t>
      </w:r>
    </w:p>
    <w:p>
      <w:pPr>
        <w:ind w:firstLine="482"/>
      </w:pPr>
      <w:r>
        <w:rPr>
          <w:b/>
          <w:sz w:val="24"/>
        </w:rPr>
        <w:t>运营补贴</w:t>
      </w:r>
      <w:r>
        <w:rPr>
          <w:b/>
          <w:sz w:val="24"/>
        </w:rPr>
        <w:t>:</w:t>
      </w:r>
      <w:r>
        <w:rPr>
          <w:sz w:val="24"/>
        </w:rPr>
        <w:t>采取自建厨房服务模式运营的长者饭堂，运营机构享受</w:t>
      </w:r>
      <w:r>
        <w:rPr>
          <w:sz w:val="24"/>
        </w:rPr>
        <w:t>3元/人次运营补贴；采取非自建厨房服务模式运营（即统一由供餐机构进行集体配餐的），运营机构享受1.5元/人次运营补贴；供餐机构在镇街辖内的，提供送餐到长者饭堂的供餐机构享受1元/人次运营补贴。</w:t>
      </w:r>
    </w:p>
    <w:p>
      <w:pPr>
        <w:ind w:firstLine="480"/>
      </w:pPr>
      <w:r>
        <w:rPr>
          <w:sz w:val="24"/>
        </w:rPr>
        <w:t>乙方所提供的助餐配餐的服务项目给甲方，甲方每月按照上述的补贴标准进行结算，结算结果包含税，乙方为甲方提供相应的发票。</w:t>
      </w:r>
    </w:p>
    <w:p>
      <w:pPr>
        <w:ind w:firstLine="482"/>
        <w:jc w:val="both"/>
      </w:pPr>
      <w:r>
        <w:rPr>
          <w:b/>
          <w:sz w:val="24"/>
        </w:rPr>
        <w:t>4.2.3.2 政府购买服务资助</w:t>
      </w:r>
    </w:p>
    <w:p>
      <w:pPr>
        <w:ind w:firstLine="480"/>
        <w:jc w:val="both"/>
      </w:pPr>
      <w:r>
        <w:rPr>
          <w:sz w:val="24"/>
        </w:rPr>
        <w:t>（</w:t>
      </w:r>
      <w:r>
        <w:rPr>
          <w:sz w:val="24"/>
        </w:rPr>
        <w:t>1）根据《广州市人民政府办公厅关于印发广州市社区居家养老服务管理办法的通知》第五章第二十六条及第二十七条的标准规定，给予乙方拨付服务对象政府服务资助经费：一类政府服务对象400元/月,经评估属于重度失能的,每月增加护理资助200元；二类政府服务服务对象200元/月（每季度结算一次）；又根据该通知第四章第二十四条标准规定，给予乙方拨付日间托管、康复护理服务（每次不少于30分钟）、上门生活照料（每次不少于1小时）、上门医疗服务，合格的每人次补助不少于2元，良好的补助不少于3元，优秀的补助不少于4元的标准拨付。以合同服务期满后，按第三方评估服务机构评估评定的实际服务人数、等级为结算依据。（在服务期间，若该项补助有所调整，按照最新的相关政策标准文件执行。）</w:t>
      </w:r>
    </w:p>
    <w:p>
      <w:pPr>
        <w:ind w:firstLine="480"/>
        <w:jc w:val="both"/>
      </w:pPr>
      <w:r>
        <w:rPr>
          <w:sz w:val="24"/>
        </w:rPr>
        <w:t>（</w:t>
      </w:r>
      <w:r>
        <w:rPr>
          <w:sz w:val="24"/>
        </w:rPr>
        <w:t>2）对乙方所提供医养结合服务资助标准，按照《关于印发&lt;南沙区关于促进医疗卫生和养老服务相结合的工作方案&gt;的通知》（穗南民〔2018〕170号）文件规定给乙方结算，结算资助标准划分如下：</w:t>
      </w:r>
    </w:p>
    <w:p>
      <w:pPr>
        <w:ind w:firstLine="480"/>
        <w:jc w:val="both"/>
      </w:pPr>
      <w:r>
        <w:rPr>
          <w:sz w:val="24"/>
        </w:rPr>
        <w:t>①</w:t>
      </w:r>
      <w:r>
        <w:rPr>
          <w:sz w:val="24"/>
        </w:rPr>
        <w:t>社区健康档案服务（健康体检、建立档案、疾病疗诊、家庭保健、健康教育等），每服务</w:t>
      </w:r>
      <w:r>
        <w:rPr>
          <w:sz w:val="24"/>
        </w:rPr>
        <w:t>1次资助5元。</w:t>
      </w:r>
    </w:p>
    <w:p>
      <w:pPr>
        <w:ind w:firstLine="480"/>
        <w:jc w:val="both"/>
      </w:pPr>
      <w:r>
        <w:rPr>
          <w:sz w:val="24"/>
        </w:rPr>
        <w:t>②</w:t>
      </w:r>
      <w:r>
        <w:rPr>
          <w:sz w:val="24"/>
        </w:rPr>
        <w:t>老年人康复服务（家政服务、医疗保健、生活照料服务），每服务</w:t>
      </w:r>
      <w:r>
        <w:rPr>
          <w:sz w:val="24"/>
        </w:rPr>
        <w:t>1人次资助8元。</w:t>
      </w:r>
    </w:p>
    <w:p>
      <w:pPr>
        <w:ind w:firstLine="480"/>
        <w:jc w:val="both"/>
      </w:pPr>
      <w:r>
        <w:rPr>
          <w:sz w:val="24"/>
        </w:rPr>
        <w:t>③</w:t>
      </w:r>
      <w:r>
        <w:rPr>
          <w:sz w:val="24"/>
        </w:rPr>
        <w:t>临终关怀（基本护理、照料），每服务</w:t>
      </w:r>
      <w:r>
        <w:rPr>
          <w:sz w:val="24"/>
        </w:rPr>
        <w:t>1人次资助1.5元。</w:t>
      </w:r>
    </w:p>
    <w:p>
      <w:pPr>
        <w:ind w:firstLine="480"/>
        <w:jc w:val="both"/>
      </w:pPr>
      <w:r>
        <w:rPr>
          <w:sz w:val="24"/>
        </w:rPr>
        <w:t>以上</w:t>
      </w:r>
      <w:r>
        <w:rPr>
          <w:sz w:val="24"/>
        </w:rPr>
        <w:t>3项服务资助总额最高不超过3万元，不设最低资助额度。以末期评估的第三方评估服务机构评估评定的实际服务人数、等级为结算依据，共结算1次。（在服务期间，若该项补助有所调整，按照最新的相关政策标准文件执行。）</w:t>
      </w:r>
    </w:p>
    <w:p>
      <w:pPr>
        <w:ind w:firstLine="480"/>
        <w:jc w:val="left"/>
      </w:pPr>
      <w:r>
        <w:rPr>
          <w:sz w:val="24"/>
        </w:rPr>
        <w:t xml:space="preserve">    4.3</w:t>
      </w:r>
      <w:r>
        <w:rPr>
          <w:sz w:val="24"/>
        </w:rPr>
        <w:t>乙方账户信息：</w:t>
      </w:r>
    </w:p>
    <w:p>
      <w:pPr>
        <w:ind w:firstLine="480"/>
        <w:jc w:val="left"/>
      </w:pPr>
      <w:r>
        <w:rPr>
          <w:sz w:val="24"/>
        </w:rPr>
        <w:t>户</w:t>
      </w:r>
      <w:r>
        <w:rPr>
          <w:sz w:val="24"/>
        </w:rPr>
        <w:t xml:space="preserve"> </w:t>
      </w:r>
      <w:r>
        <w:rPr>
          <w:sz w:val="24"/>
        </w:rPr>
        <w:t>名：</w:t>
      </w:r>
      <w:r>
        <w:rPr>
          <w:sz w:val="21"/>
          <w:u w:val="single"/>
        </w:rPr>
        <w:t xml:space="preserve">                                 </w:t>
      </w:r>
      <w:r>
        <w:rPr>
          <w:sz w:val="21"/>
        </w:rPr>
        <w:t xml:space="preserve">             </w:t>
      </w:r>
    </w:p>
    <w:p>
      <w:pPr>
        <w:ind w:firstLine="480"/>
        <w:jc w:val="left"/>
      </w:pPr>
      <w:r>
        <w:rPr>
          <w:sz w:val="24"/>
        </w:rPr>
        <w:t>账</w:t>
      </w:r>
      <w:r>
        <w:rPr>
          <w:sz w:val="24"/>
        </w:rPr>
        <w:t xml:space="preserve"> </w:t>
      </w:r>
      <w:r>
        <w:rPr>
          <w:sz w:val="24"/>
        </w:rPr>
        <w:t>号：</w:t>
      </w:r>
      <w:r>
        <w:rPr>
          <w:sz w:val="21"/>
          <w:u w:val="single"/>
        </w:rPr>
        <w:t xml:space="preserve">                                 </w:t>
      </w:r>
      <w:r>
        <w:rPr>
          <w:sz w:val="21"/>
        </w:rPr>
        <w:t xml:space="preserve">  </w:t>
      </w:r>
    </w:p>
    <w:p>
      <w:pPr>
        <w:ind w:firstLine="480"/>
        <w:jc w:val="left"/>
      </w:pPr>
      <w:r>
        <w:rPr>
          <w:sz w:val="24"/>
        </w:rPr>
        <w:t>开户行：</w:t>
      </w:r>
      <w:r>
        <w:rPr>
          <w:sz w:val="21"/>
          <w:u w:val="single"/>
        </w:rPr>
        <w:t xml:space="preserve">                                 </w:t>
      </w:r>
    </w:p>
    <w:p>
      <w:pPr>
        <w:ind w:firstLine="480"/>
        <w:jc w:val="left"/>
      </w:pPr>
      <w:r>
        <w:rPr>
          <w:sz w:val="24"/>
        </w:rPr>
        <w:t>地</w:t>
      </w:r>
      <w:r>
        <w:rPr>
          <w:sz w:val="24"/>
        </w:rPr>
        <w:t xml:space="preserve"> </w:t>
      </w:r>
      <w:r>
        <w:rPr>
          <w:sz w:val="24"/>
        </w:rPr>
        <w:t>址：</w:t>
      </w:r>
      <w:r>
        <w:rPr>
          <w:sz w:val="21"/>
          <w:u w:val="single"/>
        </w:rPr>
        <w:t xml:space="preserve">                                 </w:t>
      </w:r>
      <w:r>
        <w:rPr>
          <w:sz w:val="21"/>
        </w:rPr>
        <w:t xml:space="preserve">                                          </w:t>
      </w:r>
    </w:p>
    <w:p>
      <w:pPr>
        <w:ind w:firstLine="480"/>
        <w:jc w:val="left"/>
      </w:pPr>
      <w:r>
        <w:rPr>
          <w:sz w:val="24"/>
        </w:rPr>
        <w:t>4.4</w:t>
      </w:r>
      <w:r>
        <w:rPr>
          <w:sz w:val="24"/>
        </w:rPr>
        <w:t>乙方应当于甲方支付项目费用之前向甲方出具有效发票。乙方账户发生变更的，应当向甲方出具书面说明。</w:t>
      </w:r>
    </w:p>
    <w:p>
      <w:pPr>
        <w:ind w:firstLine="480"/>
      </w:pPr>
      <w:r>
        <w:rPr>
          <w:sz w:val="24"/>
        </w:rPr>
        <w:t>4.5</w:t>
      </w:r>
      <w:r>
        <w:rPr>
          <w:sz w:val="24"/>
        </w:rPr>
        <w:t>乙方指定</w:t>
      </w:r>
      <w:r>
        <w:rPr>
          <w:u w:val="single"/>
        </w:rPr>
        <w:t xml:space="preserve">          </w:t>
      </w:r>
      <w:r>
        <w:rPr>
          <w:sz w:val="24"/>
        </w:rPr>
        <w:t>为本项目的收款单位，收款名称：</w:t>
      </w:r>
      <w:r>
        <w:rPr>
          <w:u w:val="single"/>
        </w:rPr>
        <w:t xml:space="preserve">        </w:t>
      </w:r>
      <w:r>
        <w:rPr>
          <w:sz w:val="24"/>
        </w:rPr>
        <w:t>，收款账号：</w:t>
      </w:r>
      <w:r>
        <w:rPr>
          <w:u w:val="single"/>
        </w:rPr>
        <w:t xml:space="preserve">      </w:t>
      </w:r>
      <w:r>
        <w:rPr>
          <w:sz w:val="24"/>
        </w:rPr>
        <w:t>，开户银行：</w:t>
      </w:r>
      <w:r>
        <w:rPr>
          <w:u w:val="single"/>
        </w:rPr>
        <w:t xml:space="preserve">      </w:t>
      </w:r>
      <w:r>
        <w:rPr>
          <w:sz w:val="24"/>
        </w:rPr>
        <w:t>。乙方收款后处理好各联合体之间的关系，乙方联合体之间、乙方与员工之间的纠纷与甲方无关。</w:t>
      </w:r>
    </w:p>
    <w:p>
      <w:pPr>
        <w:ind w:firstLine="480"/>
        <w:jc w:val="both"/>
      </w:pPr>
      <w:r>
        <w:rPr>
          <w:sz w:val="24"/>
        </w:rPr>
        <w:t>五、双方权利与义务</w:t>
      </w:r>
    </w:p>
    <w:p>
      <w:pPr>
        <w:ind w:firstLine="480"/>
        <w:jc w:val="left"/>
      </w:pPr>
      <w:r>
        <w:rPr>
          <w:sz w:val="24"/>
        </w:rPr>
        <w:t>5.1</w:t>
      </w:r>
      <w:r>
        <w:rPr>
          <w:sz w:val="24"/>
        </w:rPr>
        <w:t>甲方权利与义务。</w:t>
      </w:r>
    </w:p>
    <w:p>
      <w:pPr>
        <w:ind w:firstLine="480"/>
        <w:jc w:val="both"/>
      </w:pPr>
      <w:r>
        <w:rPr>
          <w:sz w:val="24"/>
        </w:rPr>
        <w:t>5.1.1</w:t>
      </w:r>
      <w:r>
        <w:rPr>
          <w:sz w:val="24"/>
        </w:rPr>
        <w:t>甲方权利。</w:t>
      </w:r>
    </w:p>
    <w:p>
      <w:pPr>
        <w:ind w:firstLine="480"/>
        <w:jc w:val="both"/>
      </w:pPr>
      <w:r>
        <w:rPr>
          <w:sz w:val="24"/>
        </w:rPr>
        <w:t>5.1.1.1</w:t>
      </w:r>
      <w:r>
        <w:rPr>
          <w:sz w:val="24"/>
        </w:rPr>
        <w:t>甲方有权对乙方的项目资金使用情况进行监督与检查。</w:t>
      </w:r>
    </w:p>
    <w:p>
      <w:pPr>
        <w:ind w:firstLine="480"/>
        <w:jc w:val="both"/>
      </w:pPr>
      <w:r>
        <w:rPr>
          <w:sz w:val="24"/>
        </w:rPr>
        <w:t>5.1.1.2</w:t>
      </w:r>
      <w:r>
        <w:rPr>
          <w:sz w:val="24"/>
        </w:rPr>
        <w:t>甲方负责指导本项目工作，对乙方在项目运作过程中的工作进度、工作质量、制度落实等情况进行监督，必要时提出改进意见与建议。</w:t>
      </w:r>
    </w:p>
    <w:p>
      <w:pPr>
        <w:ind w:firstLine="480"/>
        <w:jc w:val="both"/>
      </w:pPr>
      <w:r>
        <w:rPr>
          <w:sz w:val="24"/>
        </w:rPr>
        <w:t>5.1.1.3</w:t>
      </w:r>
      <w:r>
        <w:rPr>
          <w:sz w:val="24"/>
        </w:rPr>
        <w:t>甲方根据乙方的项目承接情况无偿或低偿为乙方提供开展服务所必需的设施设备。</w:t>
      </w:r>
    </w:p>
    <w:p>
      <w:pPr>
        <w:ind w:firstLine="480"/>
        <w:jc w:val="both"/>
      </w:pPr>
      <w:r>
        <w:rPr>
          <w:sz w:val="24"/>
        </w:rPr>
        <w:t>5.1.1.4</w:t>
      </w:r>
      <w:r>
        <w:rPr>
          <w:sz w:val="24"/>
        </w:rPr>
        <w:t>甲方为乙方开展服务提供必要的协助和便利，及时传达社区居家养老服务相关政策。</w:t>
      </w:r>
    </w:p>
    <w:p>
      <w:pPr>
        <w:ind w:firstLine="480"/>
      </w:pPr>
      <w:r>
        <w:rPr>
          <w:sz w:val="24"/>
        </w:rPr>
        <w:t>5.1.1.5</w:t>
      </w:r>
      <w:r>
        <w:rPr>
          <w:sz w:val="24"/>
        </w:rPr>
        <w:t>甲方有权根据政策调整或上级规定，要求乙方完善服务形式及服务内容、提升服务质量。</w:t>
      </w:r>
    </w:p>
    <w:p>
      <w:pPr>
        <w:ind w:firstLine="480"/>
      </w:pPr>
      <w:r>
        <w:rPr>
          <w:sz w:val="24"/>
        </w:rPr>
        <w:t>5</w:t>
      </w:r>
      <w:r>
        <w:rPr>
          <w:sz w:val="24"/>
        </w:rPr>
        <w:t>.1.2</w:t>
      </w:r>
      <w:r>
        <w:rPr>
          <w:sz w:val="24"/>
        </w:rPr>
        <w:t>甲方义务</w:t>
      </w:r>
    </w:p>
    <w:p>
      <w:pPr>
        <w:ind w:firstLine="480"/>
        <w:jc w:val="both"/>
      </w:pPr>
      <w:r>
        <w:rPr>
          <w:sz w:val="24"/>
        </w:rPr>
        <w:t>5.1.2.1</w:t>
      </w:r>
      <w:r>
        <w:rPr>
          <w:sz w:val="24"/>
        </w:rPr>
        <w:t>甲方按照本合同要求向乙方拨付运营经费。</w:t>
      </w:r>
    </w:p>
    <w:p>
      <w:pPr>
        <w:ind w:firstLine="480"/>
        <w:jc w:val="both"/>
      </w:pPr>
      <w:r>
        <w:rPr>
          <w:sz w:val="24"/>
        </w:rPr>
        <w:t>5.1.2.2</w:t>
      </w:r>
      <w:r>
        <w:rPr>
          <w:sz w:val="24"/>
        </w:rPr>
        <w:t>甲方负责承担服务项目场地租赁、水电等费用。</w:t>
      </w:r>
    </w:p>
    <w:p>
      <w:pPr>
        <w:ind w:firstLine="480"/>
        <w:jc w:val="left"/>
      </w:pPr>
      <w:r>
        <w:rPr>
          <w:sz w:val="24"/>
        </w:rPr>
        <w:t>5.1.</w:t>
      </w:r>
      <w:r>
        <w:rPr>
          <w:sz w:val="24"/>
        </w:rPr>
        <w:t>2</w:t>
      </w:r>
      <w:r>
        <w:rPr>
          <w:sz w:val="24"/>
        </w:rPr>
        <w:t>.3</w:t>
      </w:r>
      <w:r>
        <w:rPr>
          <w:sz w:val="24"/>
        </w:rPr>
        <w:t>甲方应当按照本合同约定的方式及时间向乙方支付相应合同款项；</w:t>
      </w:r>
    </w:p>
    <w:p>
      <w:pPr>
        <w:ind w:firstLine="480"/>
        <w:jc w:val="left"/>
      </w:pPr>
      <w:r>
        <w:rPr>
          <w:sz w:val="24"/>
        </w:rPr>
        <w:t>5.1.2.4</w:t>
      </w:r>
      <w:r>
        <w:rPr>
          <w:sz w:val="24"/>
        </w:rPr>
        <w:t>甲方应当按照规定协助乙方申请相应的政府补贴、补助、奖励或者其他资金支持、优惠等；应当按照规定协助乙方申请办理养老机构、居家养老服务机构税费减免、价格优惠、小微企业等财税优惠等；</w:t>
      </w:r>
    </w:p>
    <w:p>
      <w:pPr>
        <w:ind w:firstLine="480"/>
        <w:jc w:val="left"/>
      </w:pPr>
      <w:r>
        <w:rPr>
          <w:sz w:val="24"/>
        </w:rPr>
        <w:t>5.1.2.5</w:t>
      </w:r>
      <w:r>
        <w:rPr>
          <w:sz w:val="24"/>
        </w:rPr>
        <w:t>因政策调整或者其他客观原因需要提前终止项目的，甲方应当提前</w:t>
      </w:r>
      <w:r>
        <w:rPr>
          <w:sz w:val="24"/>
        </w:rPr>
        <w:t>1</w:t>
      </w:r>
      <w:r>
        <w:rPr>
          <w:sz w:val="24"/>
        </w:rPr>
        <w:t>个月书面通知乙方；情况紧急需要提前终止项目的，甲方应当及时通知乙方，但是应当给予乙方适当的处理时间；</w:t>
      </w:r>
    </w:p>
    <w:p>
      <w:pPr>
        <w:ind w:firstLine="480"/>
        <w:jc w:val="both"/>
      </w:pPr>
      <w:r>
        <w:rPr>
          <w:sz w:val="24"/>
        </w:rPr>
        <w:t>5.1.2.6</w:t>
      </w:r>
      <w:r>
        <w:rPr>
          <w:sz w:val="24"/>
        </w:rPr>
        <w:t>甲方应当为乙方承办项目、开展服务提供必要的协助；甲方应当在乙方有需要时：统筹协调乙方与相关居家养老综合服务平台项目承接方共同联合开展服务或者做好服务衔接、资源整合等工作；指导、协调社区（村、居）配合乙方开展社区宣传与服务工作。</w:t>
      </w:r>
    </w:p>
    <w:p>
      <w:pPr>
        <w:ind w:firstLine="480"/>
        <w:jc w:val="both"/>
      </w:pPr>
      <w:r>
        <w:rPr>
          <w:sz w:val="24"/>
        </w:rPr>
        <w:t>5.2</w:t>
      </w:r>
      <w:r>
        <w:rPr>
          <w:sz w:val="24"/>
        </w:rPr>
        <w:t>乙方权利与义务。</w:t>
      </w:r>
    </w:p>
    <w:p>
      <w:pPr>
        <w:ind w:firstLine="480"/>
        <w:jc w:val="left"/>
      </w:pPr>
      <w:r>
        <w:rPr>
          <w:sz w:val="24"/>
        </w:rPr>
        <w:t>5.2.1</w:t>
      </w:r>
      <w:r>
        <w:rPr>
          <w:sz w:val="24"/>
        </w:rPr>
        <w:t>乙方权利。</w:t>
      </w:r>
    </w:p>
    <w:p>
      <w:pPr>
        <w:ind w:firstLine="480"/>
        <w:jc w:val="left"/>
      </w:pPr>
      <w:r>
        <w:rPr>
          <w:sz w:val="24"/>
        </w:rPr>
        <w:t>5.2.1.1</w:t>
      </w:r>
      <w:r>
        <w:rPr>
          <w:sz w:val="24"/>
        </w:rPr>
        <w:t>合同期间乙方有权获得甲方必要的工作支持；</w:t>
      </w:r>
    </w:p>
    <w:p>
      <w:pPr>
        <w:ind w:firstLine="480"/>
        <w:jc w:val="left"/>
      </w:pPr>
      <w:r>
        <w:rPr>
          <w:sz w:val="24"/>
        </w:rPr>
        <w:t>5.2.1.2</w:t>
      </w:r>
      <w:r>
        <w:rPr>
          <w:sz w:val="24"/>
        </w:rPr>
        <w:t>合同期间乙方有权以</w:t>
      </w:r>
      <w:r>
        <w:rPr>
          <w:sz w:val="24"/>
        </w:rPr>
        <w:t>“</w:t>
      </w:r>
      <w:r>
        <w:rPr>
          <w:sz w:val="21"/>
          <w:u w:val="single"/>
        </w:rPr>
        <w:t xml:space="preserve">  </w:t>
      </w:r>
      <w:r>
        <w:rPr>
          <w:sz w:val="24"/>
          <w:u w:val="single"/>
        </w:rPr>
        <w:t>南沙</w:t>
      </w:r>
      <w:r>
        <w:rPr>
          <w:sz w:val="21"/>
          <w:u w:val="single"/>
        </w:rPr>
        <w:t xml:space="preserve">  </w:t>
      </w:r>
      <w:r>
        <w:rPr>
          <w:sz w:val="24"/>
        </w:rPr>
        <w:t>区</w:t>
      </w:r>
      <w:r>
        <w:rPr>
          <w:sz w:val="21"/>
          <w:u w:val="single"/>
        </w:rPr>
        <w:t xml:space="preserve">  </w:t>
      </w:r>
      <w:r>
        <w:rPr>
          <w:sz w:val="24"/>
          <w:u w:val="single"/>
        </w:rPr>
        <w:t>龙穴</w:t>
      </w:r>
      <w:r>
        <w:rPr>
          <w:sz w:val="21"/>
          <w:u w:val="single"/>
        </w:rPr>
        <w:t xml:space="preserve"> </w:t>
      </w:r>
      <w:r>
        <w:rPr>
          <w:sz w:val="24"/>
        </w:rPr>
        <w:t>街综合养老服务中心的名义进行服务宣传及开展服务；</w:t>
      </w:r>
    </w:p>
    <w:p>
      <w:pPr>
        <w:ind w:firstLine="480"/>
        <w:jc w:val="left"/>
      </w:pPr>
      <w:r>
        <w:rPr>
          <w:sz w:val="24"/>
        </w:rPr>
        <w:t>5.2.1.3</w:t>
      </w:r>
      <w:r>
        <w:rPr>
          <w:sz w:val="24"/>
        </w:rPr>
        <w:t>因政策调整或其他客观原因，需要提前终止项目或导致合同无法继续履行的，乙方有权收回已投入的相关财产；</w:t>
      </w:r>
    </w:p>
    <w:p>
      <w:pPr>
        <w:ind w:firstLine="480"/>
        <w:jc w:val="left"/>
      </w:pPr>
      <w:r>
        <w:rPr>
          <w:sz w:val="24"/>
        </w:rPr>
        <w:t>5.2.1.4</w:t>
      </w:r>
      <w:r>
        <w:rPr>
          <w:sz w:val="24"/>
        </w:rPr>
        <w:t>乙方有权依法享受因承办本项目按规定可以获得的政府补贴、补助、奖励以及其他资金支持、优惠等；有权按照规定享受养老机构、居家养老服务机构税费减免、价格优惠、小微企业等财税优惠等；</w:t>
      </w:r>
    </w:p>
    <w:p>
      <w:pPr>
        <w:ind w:firstLine="480"/>
        <w:jc w:val="left"/>
      </w:pPr>
      <w:r>
        <w:rPr>
          <w:sz w:val="24"/>
        </w:rPr>
        <w:t>5.2.2</w:t>
      </w:r>
      <w:r>
        <w:rPr>
          <w:sz w:val="24"/>
        </w:rPr>
        <w:t>乙方义务。</w:t>
      </w:r>
    </w:p>
    <w:p>
      <w:pPr>
        <w:ind w:firstLine="480"/>
        <w:jc w:val="left"/>
      </w:pPr>
      <w:r>
        <w:rPr>
          <w:sz w:val="24"/>
        </w:rPr>
        <w:t>5.2.2.1</w:t>
      </w:r>
      <w:r>
        <w:rPr>
          <w:sz w:val="24"/>
        </w:rPr>
        <w:t>乙方应当根据广州市街</w:t>
      </w:r>
      <w:r>
        <w:rPr>
          <w:sz w:val="24"/>
        </w:rPr>
        <w:t>（</w:t>
      </w:r>
      <w:r>
        <w:rPr>
          <w:sz w:val="24"/>
        </w:rPr>
        <w:t>镇</w:t>
      </w:r>
      <w:r>
        <w:rPr>
          <w:sz w:val="24"/>
        </w:rPr>
        <w:t>）</w:t>
      </w:r>
      <w:r>
        <w:rPr>
          <w:sz w:val="24"/>
        </w:rPr>
        <w:t>综合养老服务中心（颐康中心）建设提升三年行动方案</w:t>
      </w:r>
      <w:r>
        <w:rPr>
          <w:sz w:val="24"/>
        </w:rPr>
        <w:t>、</w:t>
      </w:r>
      <w:r>
        <w:rPr>
          <w:sz w:val="24"/>
        </w:rPr>
        <w:t>《广州市街镇综合养老服务中心（颐康中心）建设提升行动计划》（穗养老联席﹝</w:t>
      </w:r>
      <w:r>
        <w:rPr>
          <w:sz w:val="24"/>
        </w:rPr>
        <w:t>2020</w:t>
      </w:r>
      <w:r>
        <w:rPr>
          <w:sz w:val="24"/>
        </w:rPr>
        <w:t>﹞</w:t>
      </w:r>
      <w:r>
        <w:rPr>
          <w:sz w:val="24"/>
        </w:rPr>
        <w:t>5</w:t>
      </w:r>
      <w:r>
        <w:rPr>
          <w:sz w:val="24"/>
        </w:rPr>
        <w:t>号）等相关规定，负责</w:t>
      </w:r>
      <w:r>
        <w:rPr>
          <w:sz w:val="21"/>
          <w:u w:val="single"/>
        </w:rPr>
        <w:t xml:space="preserve">  </w:t>
      </w:r>
      <w:r>
        <w:rPr>
          <w:sz w:val="24"/>
          <w:u w:val="single"/>
        </w:rPr>
        <w:t>南沙</w:t>
      </w:r>
      <w:r>
        <w:rPr>
          <w:sz w:val="21"/>
          <w:u w:val="single"/>
        </w:rPr>
        <w:t xml:space="preserve">   </w:t>
      </w:r>
      <w:r>
        <w:rPr>
          <w:sz w:val="24"/>
        </w:rPr>
        <w:t>区</w:t>
      </w:r>
      <w:r>
        <w:rPr>
          <w:sz w:val="21"/>
          <w:u w:val="single"/>
        </w:rPr>
        <w:t xml:space="preserve"> </w:t>
      </w:r>
      <w:r>
        <w:rPr>
          <w:sz w:val="24"/>
          <w:u w:val="single"/>
        </w:rPr>
        <w:t>龙穴</w:t>
      </w:r>
      <w:r>
        <w:rPr>
          <w:sz w:val="21"/>
          <w:u w:val="single"/>
        </w:rPr>
        <w:t xml:space="preserve"> </w:t>
      </w:r>
      <w:r>
        <w:rPr>
          <w:sz w:val="24"/>
        </w:rPr>
        <w:t>街综合养老服务中心</w:t>
      </w:r>
      <w:r>
        <w:rPr>
          <w:sz w:val="24"/>
        </w:rPr>
        <w:t>的</w:t>
      </w:r>
      <w:r>
        <w:rPr>
          <w:sz w:val="24"/>
        </w:rPr>
        <w:t>运营及服务，并应当通过甲方组织的验收；</w:t>
      </w:r>
    </w:p>
    <w:p>
      <w:pPr>
        <w:ind w:firstLine="480"/>
        <w:jc w:val="left"/>
      </w:pPr>
      <w:r>
        <w:rPr>
          <w:sz w:val="24"/>
        </w:rPr>
        <w:t>5.2.2.2</w:t>
      </w:r>
      <w:r>
        <w:rPr>
          <w:sz w:val="24"/>
        </w:rPr>
        <w:t>乙方应当积极听取并按照甲方的建议或者意见等对相关工作进行整改、完善，提升服务质量；</w:t>
      </w:r>
    </w:p>
    <w:p>
      <w:pPr>
        <w:ind w:firstLine="480"/>
        <w:jc w:val="left"/>
      </w:pPr>
      <w:r>
        <w:rPr>
          <w:sz w:val="24"/>
        </w:rPr>
        <w:t>5.2.2.3</w:t>
      </w:r>
      <w:r>
        <w:rPr>
          <w:sz w:val="24"/>
        </w:rPr>
        <w:t>未经甲方书面同意，乙方不得停止或者暂停本项目、减少服务内容、变更服务场地、缩减服务场地面积或者将服务场地用于其他用途；</w:t>
      </w:r>
    </w:p>
    <w:p>
      <w:pPr>
        <w:ind w:firstLine="480"/>
        <w:jc w:val="left"/>
      </w:pPr>
      <w:r>
        <w:rPr>
          <w:sz w:val="24"/>
        </w:rPr>
        <w:t>5.2.2.4</w:t>
      </w:r>
      <w:r>
        <w:rPr>
          <w:sz w:val="24"/>
        </w:rPr>
        <w:t>乙方应当按照养老服务等相关法律法规和行业标准，配备与服务和运营相适应且具备</w:t>
      </w:r>
      <w:r>
        <w:rPr>
          <w:sz w:val="24"/>
        </w:rPr>
        <w:t>专职项目负责人</w:t>
      </w:r>
      <w:r>
        <w:rPr>
          <w:sz w:val="24"/>
        </w:rPr>
        <w:t>1名（具有中级社会工作师资格证，有3年以上养老服务管理工作经验）,专职养老管理员1人（具有初级社会工作师，大专以上学历，35周岁以下，2年以上养老管理经验），</w:t>
      </w:r>
      <w:r>
        <w:rPr>
          <w:b/>
          <w:sz w:val="24"/>
        </w:rPr>
        <w:t>驻点街道公共服务公室</w:t>
      </w:r>
      <w:r>
        <w:rPr>
          <w:sz w:val="24"/>
        </w:rPr>
        <w:t>，专职社会工作师</w:t>
      </w:r>
      <w:r>
        <w:rPr>
          <w:sz w:val="24"/>
        </w:rPr>
        <w:t>1人（具有初级社会工作师），专职助餐配餐员1人（大专或以上学历），专职执业护士1人，兼职执业医疗1人、执业康复治疗师1人，合作医疗机构可委派人员。兼职养老督导员1人，兼职养老护理员1人（应具备养老护理</w:t>
      </w:r>
      <w:r>
        <w:rPr>
          <w:sz w:val="24"/>
        </w:rPr>
        <w:t>从业资格</w:t>
      </w:r>
      <w:r>
        <w:rPr>
          <w:sz w:val="24"/>
        </w:rPr>
        <w:t>，与资助对象的配备比例不低于</w:t>
      </w:r>
      <w:r>
        <w:rPr>
          <w:sz w:val="24"/>
        </w:rPr>
        <w:t>1：50），兼职营养师1人</w:t>
      </w:r>
      <w:r>
        <w:rPr>
          <w:sz w:val="24"/>
        </w:rPr>
        <w:t>等人员；乙方人员应当严格遵守本机构规章制度以及相关法律法规、职业操守、职业道德等，尊重服务对象，运用专业知识和技巧开展服务；</w:t>
      </w:r>
    </w:p>
    <w:p>
      <w:pPr>
        <w:ind w:firstLine="480"/>
        <w:jc w:val="left"/>
      </w:pPr>
      <w:r>
        <w:rPr>
          <w:sz w:val="24"/>
        </w:rPr>
        <w:t>5.2.2.5</w:t>
      </w:r>
      <w:r>
        <w:rPr>
          <w:sz w:val="24"/>
        </w:rPr>
        <w:t>乙方开展全托服务的，应当按照规定到</w:t>
      </w:r>
      <w:r>
        <w:rPr>
          <w:sz w:val="21"/>
          <w:u w:val="single"/>
        </w:rPr>
        <w:t xml:space="preserve"> </w:t>
      </w:r>
      <w:r>
        <w:rPr>
          <w:sz w:val="24"/>
          <w:u w:val="single"/>
        </w:rPr>
        <w:t>南沙</w:t>
      </w:r>
      <w:r>
        <w:rPr>
          <w:sz w:val="21"/>
          <w:u w:val="single"/>
        </w:rPr>
        <w:t xml:space="preserve">  </w:t>
      </w:r>
      <w:r>
        <w:rPr>
          <w:sz w:val="24"/>
        </w:rPr>
        <w:t>区民政局完成养老机构备案手续；</w:t>
      </w:r>
    </w:p>
    <w:p>
      <w:pPr>
        <w:ind w:firstLine="480"/>
        <w:jc w:val="left"/>
      </w:pPr>
      <w:r>
        <w:rPr>
          <w:sz w:val="24"/>
        </w:rPr>
        <w:t>5.2.2.6</w:t>
      </w:r>
      <w:r>
        <w:rPr>
          <w:sz w:val="24"/>
        </w:rPr>
        <w:t>乙方应当在提供的服务场地室外醒目位置悬挂由</w:t>
      </w:r>
      <w:r>
        <w:rPr>
          <w:sz w:val="21"/>
          <w:u w:val="single"/>
        </w:rPr>
        <w:t xml:space="preserve">  </w:t>
      </w:r>
      <w:r>
        <w:rPr>
          <w:sz w:val="24"/>
          <w:u w:val="single"/>
        </w:rPr>
        <w:t>南沙</w:t>
      </w:r>
      <w:r>
        <w:rPr>
          <w:sz w:val="21"/>
          <w:u w:val="single"/>
        </w:rPr>
        <w:t xml:space="preserve"> </w:t>
      </w:r>
      <w:r>
        <w:rPr>
          <w:sz w:val="24"/>
        </w:rPr>
        <w:t>区民政局编号管理的全市统一标识</w:t>
      </w:r>
      <w:r>
        <w:rPr>
          <w:sz w:val="21"/>
          <w:u w:val="single"/>
        </w:rPr>
        <w:t xml:space="preserve"> </w:t>
      </w:r>
      <w:r>
        <w:rPr>
          <w:sz w:val="24"/>
          <w:u w:val="single"/>
        </w:rPr>
        <w:t>南沙</w:t>
      </w:r>
      <w:r>
        <w:rPr>
          <w:sz w:val="21"/>
          <w:u w:val="single"/>
        </w:rPr>
        <w:t xml:space="preserve"> </w:t>
      </w:r>
      <w:r>
        <w:rPr>
          <w:sz w:val="24"/>
        </w:rPr>
        <w:t>区</w:t>
      </w:r>
      <w:r>
        <w:rPr>
          <w:sz w:val="21"/>
          <w:u w:val="single"/>
        </w:rPr>
        <w:t xml:space="preserve"> </w:t>
      </w:r>
      <w:r>
        <w:rPr>
          <w:sz w:val="24"/>
          <w:u w:val="single"/>
        </w:rPr>
        <w:t>龙穴</w:t>
      </w:r>
      <w:r>
        <w:rPr>
          <w:sz w:val="21"/>
          <w:u w:val="single"/>
        </w:rPr>
        <w:t xml:space="preserve"> </w:t>
      </w:r>
      <w:r>
        <w:rPr>
          <w:sz w:val="24"/>
        </w:rPr>
        <w:t>街综合养老服务中心；</w:t>
      </w:r>
    </w:p>
    <w:p>
      <w:pPr>
        <w:ind w:firstLine="480"/>
        <w:jc w:val="left"/>
      </w:pPr>
      <w:r>
        <w:rPr>
          <w:sz w:val="24"/>
        </w:rPr>
        <w:t>5.2.2.7</w:t>
      </w:r>
      <w:r>
        <w:rPr>
          <w:sz w:val="24"/>
        </w:rPr>
        <w:t>乙方运营管理和服务开展应当按规定使用市为老服务综合信息管理平台及其子系统，以平台数据作为享受政府补贴、补助、奖励或者其他资金支持、优惠以及甲方开展检查验收、监管等的依据；</w:t>
      </w:r>
    </w:p>
    <w:p>
      <w:pPr>
        <w:ind w:firstLine="480"/>
        <w:jc w:val="left"/>
      </w:pPr>
      <w:r>
        <w:rPr>
          <w:sz w:val="24"/>
        </w:rPr>
        <w:t>5.2.2.8</w:t>
      </w:r>
      <w:r>
        <w:rPr>
          <w:sz w:val="24"/>
        </w:rPr>
        <w:t>乙方承办</w:t>
      </w:r>
      <w:r>
        <w:rPr>
          <w:sz w:val="24"/>
        </w:rPr>
        <w:t>龙穴街</w:t>
      </w:r>
      <w:r>
        <w:rPr>
          <w:sz w:val="24"/>
        </w:rPr>
        <w:t>综合养老服务中心开展服务的收费标准不得高于普惠性养老服务收费标准〔即每月收费（不含特需照护）不高于</w:t>
      </w:r>
      <w:r>
        <w:rPr>
          <w:sz w:val="24"/>
        </w:rPr>
        <w:t>广州城市常住居民上年度月人均可支配收入的</w:t>
      </w:r>
      <w:r>
        <w:rPr>
          <w:sz w:val="24"/>
        </w:rPr>
        <w:t>1.3</w:t>
      </w:r>
      <w:r>
        <w:rPr>
          <w:sz w:val="24"/>
        </w:rPr>
        <w:t>倍</w:t>
      </w:r>
      <w:r>
        <w:rPr>
          <w:sz w:val="24"/>
        </w:rPr>
        <w:t>〕；按照服务项目收费的，收费标准参照《广州市社区居家养老服务项目清单与指导参考价》执行；</w:t>
      </w:r>
    </w:p>
    <w:p>
      <w:pPr>
        <w:ind w:firstLine="480"/>
        <w:jc w:val="left"/>
      </w:pPr>
      <w:r>
        <w:rPr>
          <w:sz w:val="24"/>
        </w:rPr>
        <w:t>5.2.2.9</w:t>
      </w:r>
      <w:r>
        <w:rPr>
          <w:sz w:val="24"/>
        </w:rPr>
        <w:t>乙方应当优先为社区居家养老服务资助对象、独居、高龄失能、计划生育特殊家庭等特殊困难老年人群提供服务；</w:t>
      </w:r>
    </w:p>
    <w:p>
      <w:pPr>
        <w:ind w:firstLine="480"/>
        <w:jc w:val="left"/>
      </w:pPr>
      <w:r>
        <w:rPr>
          <w:sz w:val="24"/>
        </w:rPr>
        <w:t>5.2.2.10</w:t>
      </w:r>
      <w:r>
        <w:rPr>
          <w:sz w:val="24"/>
        </w:rPr>
        <w:t>乙方应当按照国家、省、市养老机构服务安全基本规范、社区居家养老服务规范、老年人照顾需求等级评定规范等提供服务；</w:t>
      </w:r>
    </w:p>
    <w:p>
      <w:pPr>
        <w:ind w:firstLine="480"/>
        <w:jc w:val="left"/>
      </w:pPr>
      <w:r>
        <w:rPr>
          <w:sz w:val="24"/>
        </w:rPr>
        <w:t>5.2.2.11</w:t>
      </w:r>
      <w:r>
        <w:rPr>
          <w:sz w:val="24"/>
        </w:rPr>
        <w:t>乙方应当按照规定制订项目运营服务计划书、服务具体量化指标、场地使用说明等，并按规定提交甲方审核。经甲方审核确认的相关文件为本合同的一部分；</w:t>
      </w:r>
    </w:p>
    <w:p>
      <w:pPr>
        <w:ind w:firstLine="480"/>
        <w:jc w:val="left"/>
      </w:pPr>
      <w:r>
        <w:rPr>
          <w:sz w:val="24"/>
        </w:rPr>
        <w:t>5.2.2.12</w:t>
      </w:r>
      <w:r>
        <w:rPr>
          <w:sz w:val="24"/>
        </w:rPr>
        <w:t>乙方应定期向甲方反馈服务开展情况，配合甲方及其他政府部门的监督与检查。严禁出现弄虚作假、伪造服务记录的行为；</w:t>
      </w:r>
    </w:p>
    <w:p>
      <w:pPr>
        <w:ind w:firstLine="480"/>
      </w:pPr>
      <w:r>
        <w:rPr>
          <w:sz w:val="24"/>
        </w:rPr>
        <w:t>5.2.2.13</w:t>
      </w:r>
      <w:r>
        <w:rPr>
          <w:sz w:val="24"/>
        </w:rPr>
        <w:t>乙方负责支付</w:t>
      </w:r>
      <w:r>
        <w:rPr>
          <w:sz w:val="24"/>
        </w:rPr>
        <w:t>所要求配备服务人员薪酬待遇（人员薪酬、五险一金、人身意外险），康复医疗服务技术支持费用，文化娱乐服务经费（详见</w:t>
      </w:r>
      <w:r>
        <w:rPr>
          <w:sz w:val="24"/>
        </w:rPr>
        <w:t>“具体服务项目和内容”），租赁一辆四轮电动车经费、管理费用（包含办公用品、税费、招标费用、场地保险、电信资费、宽带网络资费、网络维修、场地保洁等费用）；</w:t>
      </w:r>
    </w:p>
    <w:p>
      <w:pPr>
        <w:ind w:firstLine="480"/>
        <w:jc w:val="left"/>
      </w:pPr>
      <w:r>
        <w:rPr>
          <w:sz w:val="24"/>
        </w:rPr>
        <w:t>5</w:t>
      </w:r>
      <w:r>
        <w:rPr>
          <w:sz w:val="24"/>
        </w:rPr>
        <w:t>.2.2.14</w:t>
      </w:r>
      <w:r>
        <w:rPr>
          <w:sz w:val="24"/>
        </w:rPr>
        <w:t>乙方应妥善使用并管理甲方提供的设施设备，应建立使用登记制度。委托期满后，乙方应按移交清单向甲方返还等额数量、能正常使用的设施设备。如有损坏，乙方应对设备设施进行维修和维护，维护和维修的经费由乙方负责支付。如有遗失，乙方应照价赔偿。</w:t>
      </w:r>
    </w:p>
    <w:p>
      <w:pPr>
        <w:ind w:firstLine="480"/>
        <w:jc w:val="left"/>
      </w:pPr>
      <w:r>
        <w:rPr>
          <w:sz w:val="24"/>
        </w:rPr>
        <w:t>5.2.2.15</w:t>
      </w:r>
      <w:r>
        <w:rPr>
          <w:sz w:val="24"/>
        </w:rPr>
        <w:t>乙应当对承办过程中知悉的甲方信息以及本项目涉及服务对象的个人信息进行保密，未经甲方书面同意或者服务对象、法定监护人书面同意，不得对外披露；</w:t>
      </w:r>
      <w:r>
        <w:rPr>
          <w:sz w:val="24"/>
        </w:rPr>
        <w:t>不得以任何形式提供给第三方，不得在参与本项目工作之外使用这些保密信息。乙方在本项目终止后不得保留以任何形式存储的服务对象的任何信息数据，不得利用该项目的信息数据为其他单位（包括自办单位）或项目服务。</w:t>
      </w:r>
    </w:p>
    <w:p>
      <w:pPr>
        <w:ind w:firstLine="480"/>
        <w:jc w:val="left"/>
      </w:pPr>
      <w:r>
        <w:rPr>
          <w:sz w:val="24"/>
        </w:rPr>
        <w:t>甲方信息包括本合同以及甲方为保障项目开展向乙方提供的有关甲方及工作人员信息、政策文件、会议资料及其他甲方未公开发表的信息等。</w:t>
      </w:r>
    </w:p>
    <w:p>
      <w:pPr>
        <w:ind w:firstLine="480"/>
        <w:jc w:val="both"/>
      </w:pPr>
      <w:r>
        <w:rPr>
          <w:sz w:val="24"/>
        </w:rPr>
        <w:t>5.2.2.16</w:t>
      </w:r>
      <w:r>
        <w:rPr>
          <w:sz w:val="24"/>
        </w:rPr>
        <w:t>乙方每月</w:t>
      </w:r>
      <w:r>
        <w:rPr>
          <w:sz w:val="24"/>
        </w:rPr>
        <w:t>30日前报送当月情况工作报告及次月工作计划。</w:t>
      </w:r>
    </w:p>
    <w:p>
      <w:pPr>
        <w:ind w:firstLine="480"/>
      </w:pPr>
      <w:r>
        <w:rPr>
          <w:sz w:val="24"/>
        </w:rPr>
        <w:t>5.2.2.17</w:t>
      </w:r>
      <w:r>
        <w:rPr/>
        <w:t xml:space="preserve"> </w:t>
      </w:r>
      <w:r>
        <w:rPr>
          <w:sz w:val="24"/>
        </w:rPr>
        <w:t>乙方应当严格按</w:t>
      </w:r>
      <w:r>
        <w:rPr>
          <w:sz w:val="24"/>
        </w:rPr>
        <w:t>龙穴街综合养老服务中心运营项目</w:t>
      </w:r>
      <w:r>
        <w:rPr>
          <w:u w:val="single"/>
        </w:rPr>
        <w:t xml:space="preserve">        </w:t>
      </w:r>
      <w:r>
        <w:rPr>
          <w:sz w:val="24"/>
        </w:rPr>
        <w:t>招标</w:t>
      </w:r>
      <w:r>
        <w:rPr>
          <w:sz w:val="24"/>
        </w:rPr>
        <w:t>文件（采购项目编号：</w:t>
      </w:r>
      <w:r>
        <w:rPr>
          <w:u w:val="single"/>
        </w:rPr>
        <w:t xml:space="preserve">       </w:t>
      </w:r>
      <w:r>
        <w:rPr>
          <w:sz w:val="24"/>
        </w:rPr>
        <w:t>）中的采购项目内容及提供服务。</w:t>
      </w:r>
    </w:p>
    <w:p>
      <w:pPr>
        <w:ind w:firstLine="482"/>
        <w:jc w:val="left"/>
      </w:pPr>
      <w:r>
        <w:rPr>
          <w:b/>
          <w:sz w:val="24"/>
        </w:rPr>
        <w:t>六、绩效评估</w:t>
      </w:r>
    </w:p>
    <w:p>
      <w:pPr>
        <w:ind w:firstLine="480"/>
        <w:jc w:val="both"/>
      </w:pPr>
      <w:r>
        <w:rPr>
          <w:sz w:val="24"/>
        </w:rPr>
        <w:t>合同期为</w:t>
      </w:r>
      <w:r>
        <w:rPr>
          <w:sz w:val="24"/>
        </w:rPr>
        <w:t>2</w:t>
      </w:r>
      <w:r>
        <w:rPr>
          <w:sz w:val="24"/>
        </w:rPr>
        <w:t>年，每年一签，自合同服务期生效之日起，乙方应按照上级部门的要求，每年进行中期评估（服务期满</w:t>
      </w:r>
      <w:r>
        <w:rPr>
          <w:sz w:val="24"/>
        </w:rPr>
        <w:t>6个月）和末期评估（服务期满评估）。乙方在这2期评估期间，主动向甲方提交书面自评报告，由甲方向区居家养老服务指导中心申请服务评估。服务评估参照服务指标表对各项指标进行评估，若上级部门对评估有新要求，按照最新要求执行。在中期和期末评估，甲方要求乙方综合得分达到70以上（含70分），综合等级为合格；各项服务评估得分为60分以上（含60分），各项服务评估为合格，乙方继续为甲方提供服务。在甲方收到评估报告之日起30天内，乙方应对各项不合格的服务项目进行服务整改，并提交书面的整改报告给甲方验收或备案，甲方可对乙方承接的各项服务评估等级不合格的予以扣减费用，每项扣款</w:t>
      </w:r>
      <w:r>
        <w:rPr>
          <w:sz w:val="24"/>
        </w:rPr>
        <w:t>3000</w:t>
      </w:r>
      <w:r>
        <w:rPr>
          <w:sz w:val="24"/>
        </w:rPr>
        <w:t>元。若乙方整改后仍然不合格的，甲方可向上级部门报告，服务单位在</w:t>
      </w:r>
      <w:r>
        <w:rPr>
          <w:sz w:val="24"/>
        </w:rPr>
        <w:t>2年内不得参与我市政府购买社区居家养老服务项目投标工作。</w:t>
      </w:r>
      <w:r>
        <w:rPr>
          <w:sz w:val="24"/>
        </w:rPr>
        <w:t>各项评估中不合格的服务项目，在每年合同期的尾款中扣减，尾款不足以扣减的，乙方应另行支付违约金。</w:t>
      </w:r>
      <w:r>
        <w:rPr>
          <w:sz w:val="24"/>
        </w:rPr>
        <w:t>每年以中期评估结果：综合得分达到</w:t>
      </w:r>
      <w:r>
        <w:rPr>
          <w:sz w:val="24"/>
        </w:rPr>
        <w:t>70以上（含70分），综合等级为合格，可续签第二年的服务合同。</w:t>
      </w:r>
    </w:p>
    <w:p>
      <w:pPr>
        <w:ind w:firstLine="480"/>
      </w:pPr>
      <w:r>
        <w:rPr>
          <w:sz w:val="24"/>
        </w:rPr>
        <w:t>6.2</w:t>
      </w:r>
      <w:r>
        <w:rPr>
          <w:sz w:val="24"/>
        </w:rPr>
        <w:t>乙方进驻</w:t>
      </w:r>
      <w:r>
        <w:rPr>
          <w:sz w:val="24"/>
        </w:rPr>
        <w:t>5个工作日后，提交项目的计划书，并每季度最后一个月的20日前提交完成情况的报告（服务项目内容、服务工时情况、服务的评价、活动、宣传、图片、兼职人员到岗的情况和开展服务情况等相关佐证材料），作为绩效评估的依据。</w:t>
      </w:r>
    </w:p>
    <w:p>
      <w:pPr>
        <w:ind w:firstLine="480"/>
        <w:jc w:val="both"/>
      </w:pPr>
      <w:r>
        <w:rPr>
          <w:sz w:val="24"/>
        </w:rPr>
        <w:t>七</w:t>
      </w:r>
      <w:r>
        <w:rPr>
          <w:sz w:val="24"/>
        </w:rPr>
        <w:t>、其他条款</w:t>
      </w:r>
    </w:p>
    <w:p>
      <w:pPr>
        <w:ind w:firstLine="480"/>
        <w:jc w:val="both"/>
      </w:pPr>
      <w:r>
        <w:rPr>
          <w:sz w:val="24"/>
        </w:rPr>
        <w:t>7</w:t>
      </w:r>
      <w:r>
        <w:rPr>
          <w:sz w:val="24"/>
        </w:rPr>
        <w:t xml:space="preserve">.1  </w:t>
      </w:r>
      <w:r>
        <w:rPr>
          <w:sz w:val="24"/>
        </w:rPr>
        <w:t>甲方原有街镇居家养老综合服务平台合同期满的，相关居家养老综合服务平台纳入街</w:t>
      </w:r>
      <w:r>
        <w:rPr>
          <w:sz w:val="24"/>
        </w:rPr>
        <w:t>（</w:t>
      </w:r>
      <w:r>
        <w:rPr>
          <w:sz w:val="24"/>
        </w:rPr>
        <w:t>镇</w:t>
      </w:r>
      <w:r>
        <w:rPr>
          <w:sz w:val="24"/>
        </w:rPr>
        <w:t>）</w:t>
      </w:r>
      <w:r>
        <w:rPr>
          <w:sz w:val="24"/>
        </w:rPr>
        <w:t>综合养老服务中心（颐康中心）统筹运营</w:t>
      </w:r>
      <w:r>
        <w:rPr>
          <w:sz w:val="24"/>
        </w:rPr>
        <w:t>，</w:t>
      </w:r>
      <w:r>
        <w:rPr>
          <w:sz w:val="24"/>
        </w:rPr>
        <w:t>原街镇平台运营经费（每年不少于</w:t>
      </w:r>
      <w:r>
        <w:rPr>
          <w:sz w:val="24"/>
        </w:rPr>
        <w:t>60</w:t>
      </w:r>
      <w:r>
        <w:rPr>
          <w:sz w:val="24"/>
        </w:rPr>
        <w:t>万元，其中辖区老年人数不足</w:t>
      </w:r>
      <w:r>
        <w:rPr>
          <w:sz w:val="24"/>
        </w:rPr>
        <w:t>3000</w:t>
      </w:r>
      <w:r>
        <w:rPr>
          <w:sz w:val="24"/>
        </w:rPr>
        <w:t>人的按照各区民政局、财政局共同确定的标准）依法拨付街</w:t>
      </w:r>
      <w:r>
        <w:rPr>
          <w:sz w:val="24"/>
        </w:rPr>
        <w:t>（</w:t>
      </w:r>
      <w:r>
        <w:rPr>
          <w:sz w:val="24"/>
        </w:rPr>
        <w:t>镇</w:t>
      </w:r>
      <w:r>
        <w:rPr>
          <w:sz w:val="24"/>
        </w:rPr>
        <w:t>）</w:t>
      </w:r>
      <w:r>
        <w:rPr>
          <w:sz w:val="24"/>
        </w:rPr>
        <w:t>综合养老服务中心。街镇居家养老综合服务平台</w:t>
      </w:r>
      <w:r>
        <w:rPr>
          <w:sz w:val="24"/>
        </w:rPr>
        <w:t>运营经费相关政策调整的，按照新政策的规定执行；</w:t>
      </w:r>
    </w:p>
    <w:p>
      <w:pPr>
        <w:ind w:firstLine="480"/>
        <w:jc w:val="both"/>
      </w:pPr>
      <w:r>
        <w:rPr>
          <w:sz w:val="24"/>
        </w:rPr>
        <w:t>7</w:t>
      </w:r>
      <w:r>
        <w:rPr>
          <w:sz w:val="24"/>
        </w:rPr>
        <w:t xml:space="preserve">.2  </w:t>
      </w:r>
      <w:r>
        <w:rPr>
          <w:sz w:val="24"/>
        </w:rPr>
        <w:t>项目实施过程中，如上级及本级单位或相关政策文件对于项目实施给予相应补贴、补助、奖励或其他资金支持、优惠的，甲方应当及时通知乙方，并依法将相关经费拨付给乙方或按照规定协助乙方进行申请。</w:t>
      </w:r>
    </w:p>
    <w:p>
      <w:pPr>
        <w:ind w:firstLine="480"/>
      </w:pPr>
      <w:r>
        <w:rPr>
          <w:sz w:val="24"/>
        </w:rPr>
        <w:t>7.3</w:t>
      </w:r>
      <w:r>
        <w:rPr>
          <w:sz w:val="24"/>
        </w:rPr>
        <w:t>乙方除了做好本项目服务任务外，应当服从街道下达的工作安排，并尽心尽力做好每项工作。</w:t>
      </w:r>
    </w:p>
    <w:p>
      <w:pPr>
        <w:ind w:firstLine="480"/>
      </w:pPr>
      <w:r>
        <w:rPr>
          <w:sz w:val="24"/>
        </w:rPr>
        <w:t>7.4</w:t>
      </w:r>
      <w:r>
        <w:rPr>
          <w:sz w:val="24"/>
        </w:rPr>
        <w:t>乙方在服务期间，在运营管理、服务质量、疫情防控等工作，被上级部门或街道部门通报，每通报</w:t>
      </w:r>
      <w:r>
        <w:rPr>
          <w:sz w:val="24"/>
        </w:rPr>
        <w:t>1次在运营项目经费扣除3000元，并落实整改到位。若同类通报情况，整改后再次被通报，在运营项目经费中再扣除5000元。</w:t>
      </w:r>
    </w:p>
    <w:p>
      <w:pPr>
        <w:ind w:firstLine="480"/>
        <w:jc w:val="both"/>
      </w:pPr>
      <w:r>
        <w:rPr>
          <w:sz w:val="24"/>
        </w:rPr>
        <w:t>八</w:t>
      </w:r>
      <w:r>
        <w:rPr>
          <w:sz w:val="24"/>
        </w:rPr>
        <w:t>、法律责任</w:t>
      </w:r>
    </w:p>
    <w:p>
      <w:pPr>
        <w:ind w:firstLine="480"/>
        <w:jc w:val="left"/>
      </w:pPr>
      <w:r>
        <w:rPr>
          <w:sz w:val="24"/>
        </w:rPr>
        <w:t>8</w:t>
      </w:r>
      <w:r>
        <w:rPr>
          <w:sz w:val="24"/>
        </w:rPr>
        <w:t>.1</w:t>
      </w:r>
      <w:r>
        <w:rPr>
          <w:sz w:val="24"/>
        </w:rPr>
        <w:t>乙方承办的</w:t>
      </w:r>
      <w:r>
        <w:rPr>
          <w:sz w:val="24"/>
        </w:rPr>
        <w:t>龙穴街</w:t>
      </w:r>
      <w:r>
        <w:rPr>
          <w:sz w:val="24"/>
        </w:rPr>
        <w:t>综合养老服务中心未能通过甲方验收或者乙方未能按照本合同约定承办项目、提供服务，经甲方要求整改两次以上仍然不到位或者拒绝整改的，甲方有权解除合同，并要求乙方承担由此产生的相应责任；</w:t>
      </w:r>
    </w:p>
    <w:p>
      <w:pPr>
        <w:ind w:firstLine="480"/>
        <w:jc w:val="left"/>
      </w:pPr>
      <w:r>
        <w:rPr>
          <w:sz w:val="24"/>
        </w:rPr>
        <w:t>8</w:t>
      </w:r>
      <w:r>
        <w:rPr>
          <w:sz w:val="24"/>
        </w:rPr>
        <w:t>.2</w:t>
      </w:r>
      <w:r>
        <w:rPr>
          <w:sz w:val="24"/>
        </w:rPr>
        <w:t>乙方项目承办过程中，因违法违规操作等原因造成甲方损失的，甲方有权解决合同，并要求乙方承担相应责任；</w:t>
      </w:r>
    </w:p>
    <w:p>
      <w:pPr>
        <w:ind w:firstLine="480"/>
        <w:jc w:val="left"/>
      </w:pPr>
      <w:r>
        <w:rPr>
          <w:sz w:val="24"/>
        </w:rPr>
        <w:t>7.3</w:t>
      </w:r>
      <w:r>
        <w:rPr>
          <w:sz w:val="24"/>
        </w:rPr>
        <w:t>乙方承办项目过程中，与任何第三方发生的纠纷，由乙方负责解决，由此产生的一切责任由乙方自行承担；</w:t>
      </w:r>
    </w:p>
    <w:p>
      <w:pPr>
        <w:ind w:firstLine="480"/>
        <w:jc w:val="left"/>
      </w:pPr>
      <w:r>
        <w:rPr>
          <w:sz w:val="24"/>
        </w:rPr>
        <w:t>8</w:t>
      </w:r>
      <w:r>
        <w:rPr>
          <w:sz w:val="24"/>
        </w:rPr>
        <w:t>.4</w:t>
      </w:r>
      <w:r>
        <w:rPr>
          <w:sz w:val="24"/>
        </w:rPr>
        <w:t>乙方违反保密规定，泄漏知悉的甲方信息或者服务对象信息的，甲方有权解除合同，并要求乙方承担相应的法律责任。</w:t>
      </w:r>
    </w:p>
    <w:p>
      <w:pPr>
        <w:ind w:firstLine="480"/>
        <w:jc w:val="both"/>
      </w:pPr>
      <w:r>
        <w:rPr>
          <w:sz w:val="24"/>
        </w:rPr>
        <w:t>九</w:t>
      </w:r>
      <w:r>
        <w:rPr>
          <w:sz w:val="24"/>
        </w:rPr>
        <w:t>、项目期限</w:t>
      </w:r>
    </w:p>
    <w:p>
      <w:pPr>
        <w:ind w:firstLine="480"/>
        <w:jc w:val="left"/>
      </w:pPr>
      <w:r>
        <w:rPr>
          <w:sz w:val="24"/>
        </w:rPr>
        <w:t>9</w:t>
      </w:r>
      <w:r>
        <w:rPr>
          <w:sz w:val="24"/>
        </w:rPr>
        <w:t>.1</w:t>
      </w:r>
      <w:r>
        <w:rPr>
          <w:sz w:val="24"/>
        </w:rPr>
        <w:t>本项目期限为</w:t>
      </w:r>
      <w:r>
        <w:rPr>
          <w:sz w:val="21"/>
          <w:u w:val="single"/>
        </w:rPr>
        <w:t xml:space="preserve"> </w:t>
      </w:r>
      <w:r>
        <w:rPr>
          <w:sz w:val="24"/>
          <w:u w:val="single"/>
        </w:rPr>
        <w:t>2</w:t>
      </w:r>
      <w:r>
        <w:rPr>
          <w:sz w:val="21"/>
          <w:u w:val="single"/>
        </w:rPr>
        <w:t xml:space="preserve"> </w:t>
      </w:r>
      <w:r>
        <w:rPr>
          <w:sz w:val="24"/>
        </w:rPr>
        <w:t>年，即自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w:t>
      </w:r>
    </w:p>
    <w:p>
      <w:pPr>
        <w:ind w:firstLine="480"/>
        <w:jc w:val="left"/>
      </w:pPr>
      <w:r>
        <w:rPr>
          <w:sz w:val="24"/>
        </w:rPr>
        <w:t>9</w:t>
      </w:r>
      <w:r>
        <w:rPr>
          <w:sz w:val="24"/>
        </w:rPr>
        <w:t>.2</w:t>
      </w:r>
      <w:r>
        <w:rPr>
          <w:sz w:val="24"/>
        </w:rPr>
        <w:t>在项目期限内，本服务合同</w:t>
      </w:r>
      <w:r>
        <w:rPr>
          <w:sz w:val="21"/>
          <w:u w:val="single"/>
        </w:rPr>
        <w:t xml:space="preserve"> </w:t>
      </w:r>
      <w:r>
        <w:rPr>
          <w:sz w:val="24"/>
          <w:u w:val="single"/>
        </w:rPr>
        <w:t>一</w:t>
      </w:r>
      <w:r>
        <w:rPr>
          <w:sz w:val="21"/>
          <w:u w:val="single"/>
        </w:rPr>
        <w:t xml:space="preserve"> </w:t>
      </w:r>
      <w:r>
        <w:rPr>
          <w:sz w:val="24"/>
        </w:rPr>
        <w:t>年一签。</w:t>
      </w:r>
      <w:r>
        <w:rPr>
          <w:sz w:val="24"/>
        </w:rPr>
        <w:t>本期服务期限自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ind w:firstLine="480"/>
        <w:jc w:val="both"/>
      </w:pPr>
      <w:r>
        <w:rPr>
          <w:sz w:val="24"/>
        </w:rPr>
        <w:t>十</w:t>
      </w:r>
      <w:r>
        <w:rPr>
          <w:sz w:val="24"/>
        </w:rPr>
        <w:t>、争议解决</w:t>
      </w:r>
    </w:p>
    <w:p>
      <w:pPr>
        <w:ind w:firstLine="480"/>
        <w:jc w:val="left"/>
      </w:pPr>
      <w:r>
        <w:rPr>
          <w:sz w:val="24"/>
        </w:rPr>
        <w:t>10</w:t>
      </w:r>
      <w:r>
        <w:rPr>
          <w:sz w:val="24"/>
        </w:rPr>
        <w:t>.1</w:t>
      </w:r>
      <w:r>
        <w:rPr>
          <w:sz w:val="24"/>
        </w:rPr>
        <w:t>本合同未尽事项或合同执行过程中有争议的，由甲乙双方本着诚实信用的基本原则协商解决，并可签订补充合同；</w:t>
      </w:r>
    </w:p>
    <w:p>
      <w:pPr>
        <w:ind w:firstLine="480"/>
        <w:jc w:val="left"/>
      </w:pPr>
      <w:r>
        <w:rPr>
          <w:sz w:val="24"/>
        </w:rPr>
        <w:t>10</w:t>
      </w:r>
      <w:r>
        <w:rPr>
          <w:sz w:val="24"/>
        </w:rPr>
        <w:t>.2</w:t>
      </w:r>
      <w:r>
        <w:rPr>
          <w:sz w:val="24"/>
        </w:rPr>
        <w:t>双方签订补充合同，作为本合同的附件，与本合同具有同等法律效力；</w:t>
      </w:r>
    </w:p>
    <w:p>
      <w:pPr>
        <w:ind w:firstLine="480"/>
        <w:jc w:val="both"/>
      </w:pPr>
      <w:r>
        <w:rPr>
          <w:sz w:val="24"/>
        </w:rPr>
        <w:t>10</w:t>
      </w:r>
      <w:r>
        <w:rPr>
          <w:sz w:val="24"/>
        </w:rPr>
        <w:t>.3</w:t>
      </w:r>
      <w:r>
        <w:rPr>
          <w:sz w:val="24"/>
        </w:rPr>
        <w:t>依照本合同要求，甲方发出的通知或者文件、材料，可以当场送达，也可以通过挂号信件、快递邮件的形式送达。乙方收到文件、材料后十日内未提出异议或未回复的，视为同意甲方的意见。当场送达的，以签收时间为送达时间；以挂号信件、快递邮件形式发出的，以发出后七日视为送达。乙方指定联系人</w:t>
      </w:r>
      <w:r>
        <w:rPr>
          <w:sz w:val="21"/>
          <w:u w:val="single"/>
        </w:rPr>
        <w:t xml:space="preserve">     </w:t>
      </w:r>
      <w:r>
        <w:rPr>
          <w:sz w:val="24"/>
        </w:rPr>
        <w:t xml:space="preserve"> </w:t>
      </w:r>
      <w:r>
        <w:rPr>
          <w:sz w:val="24"/>
        </w:rPr>
        <w:t>，电话：</w:t>
      </w:r>
      <w:r>
        <w:rPr>
          <w:sz w:val="21"/>
          <w:u w:val="single"/>
        </w:rPr>
        <w:t xml:space="preserve">       </w:t>
      </w:r>
      <w:r>
        <w:rPr>
          <w:sz w:val="24"/>
        </w:rPr>
        <w:t xml:space="preserve"> </w:t>
      </w:r>
      <w:r>
        <w:rPr>
          <w:sz w:val="24"/>
        </w:rPr>
        <w:t>，邮箱：</w:t>
      </w:r>
      <w:r>
        <w:rPr>
          <w:sz w:val="21"/>
          <w:u w:val="single"/>
        </w:rPr>
        <w:t xml:space="preserve">     </w:t>
      </w:r>
      <w:r>
        <w:rPr>
          <w:sz w:val="24"/>
        </w:rPr>
        <w:t>，收件地址：</w:t>
      </w:r>
      <w:r>
        <w:rPr>
          <w:sz w:val="21"/>
          <w:u w:val="single"/>
        </w:rPr>
        <w:t xml:space="preserve">              </w:t>
      </w:r>
      <w:r>
        <w:rPr>
          <w:sz w:val="24"/>
        </w:rPr>
        <w:t>。</w:t>
      </w:r>
    </w:p>
    <w:p>
      <w:pPr>
        <w:ind w:firstLine="480"/>
      </w:pPr>
      <w:r>
        <w:rPr>
          <w:sz w:val="24"/>
        </w:rPr>
        <w:t>10.4 本合同在履行过程中发生争议，由甲、乙双方协商解决，协商不成的，可以向广州市南沙区人民法院提起诉讼。</w:t>
      </w:r>
    </w:p>
    <w:p>
      <w:pPr>
        <w:ind w:firstLine="480"/>
      </w:pPr>
      <w:r>
        <w:rPr>
          <w:sz w:val="24"/>
        </w:rPr>
        <w:t>十一、违约责任</w:t>
      </w:r>
    </w:p>
    <w:p>
      <w:pPr>
        <w:ind w:firstLine="480"/>
        <w:jc w:val="both"/>
      </w:pPr>
      <w:r>
        <w:rPr>
          <w:sz w:val="24"/>
        </w:rPr>
        <w:t>11.1</w:t>
      </w:r>
      <w:r>
        <w:rPr>
          <w:sz w:val="24"/>
        </w:rPr>
        <w:t>在履行合同过程中，乙方违反本合同的约定，所提供的服务未达到合同要求或未通过评估的，甲方提出书面限期整改通知，乙方应当按照书面意见进行整改，甲方有权按合同约定扣减支付费用，也可要求乙方按每年项目运营经费</w:t>
      </w:r>
      <w:r>
        <w:rPr>
          <w:sz w:val="24"/>
        </w:rPr>
        <w:t>65万元的</w:t>
      </w:r>
      <w:r>
        <w:rPr>
          <w:sz w:val="24"/>
        </w:rPr>
        <w:t>10</w:t>
      </w:r>
      <w:r>
        <w:rPr>
          <w:sz w:val="24"/>
        </w:rPr>
        <w:t>%向甲方支付违约金，由此造成甲方的经济损失，乙方应予以赔偿。整改后仍不符合要求的，甲方有权解除合同。</w:t>
      </w:r>
    </w:p>
    <w:p>
      <w:pPr>
        <w:ind w:firstLine="480"/>
        <w:jc w:val="both"/>
      </w:pPr>
      <w:r>
        <w:rPr>
          <w:sz w:val="24"/>
        </w:rPr>
        <w:t>11.2</w:t>
      </w:r>
      <w:r>
        <w:rPr>
          <w:sz w:val="24"/>
        </w:rPr>
        <w:t>乙方在服务中出现重大责任、安全事故的，甲方有权利终止本合同，由此造成的一切损失和后果由乙方承担，乙方赔偿甲方的全部经济损失。</w:t>
      </w:r>
    </w:p>
    <w:p>
      <w:pPr>
        <w:ind w:firstLine="480"/>
        <w:jc w:val="both"/>
      </w:pPr>
      <w:r>
        <w:rPr>
          <w:sz w:val="24"/>
        </w:rPr>
        <w:t>11.3</w:t>
      </w:r>
      <w:r>
        <w:rPr>
          <w:sz w:val="24"/>
        </w:rPr>
        <w:t>甲方无正当理由逾期</w:t>
      </w:r>
      <w:r>
        <w:rPr>
          <w:sz w:val="24"/>
          <w:u w:val="single"/>
        </w:rPr>
        <w:t xml:space="preserve"> </w:t>
      </w:r>
      <w:r>
        <w:rPr>
          <w:sz w:val="24"/>
          <w:u w:val="single"/>
        </w:rPr>
        <w:t>30个工作</w:t>
      </w:r>
      <w:r>
        <w:rPr>
          <w:sz w:val="24"/>
        </w:rPr>
        <w:t>日未向乙方支付对应款项的，乙方有权临时召回员工或解除合同，每逾期一日，按解除合同当期费用的</w:t>
      </w:r>
      <w:r>
        <w:rPr>
          <w:sz w:val="24"/>
        </w:rPr>
        <w:t>0.05%支付逾期利息。若乙方所提供的划拨款报账材料不齐全未提供有效的发票，拖延了甲方报账的时间，乙方无权向甲方索要赔偿费用。</w:t>
      </w:r>
    </w:p>
    <w:p>
      <w:pPr>
        <w:ind w:firstLine="480"/>
        <w:jc w:val="both"/>
      </w:pPr>
      <w:r>
        <w:rPr>
          <w:sz w:val="24"/>
        </w:rPr>
        <w:t>11.4</w:t>
      </w:r>
      <w:r>
        <w:rPr>
          <w:sz w:val="24"/>
        </w:rPr>
        <w:t>因广州市财政体制改革或其他不可抗力导致项目中断或变化的，不属于违约范畴，双方互不承担违约责任。</w:t>
      </w:r>
    </w:p>
    <w:p>
      <w:pPr>
        <w:ind w:firstLine="480"/>
        <w:jc w:val="both"/>
      </w:pPr>
      <w:r>
        <w:rPr>
          <w:sz w:val="24"/>
        </w:rPr>
        <w:t>11.5</w:t>
      </w:r>
      <w:r>
        <w:rPr>
          <w:sz w:val="24"/>
        </w:rPr>
        <w:t>在合同履行过程中，乙方向甲方寻求合理的与该项目相关的协助、甲方无正当理由未处理达</w:t>
      </w:r>
      <w:r>
        <w:rPr>
          <w:sz w:val="24"/>
        </w:rPr>
        <w:t>3次的，乙方可向区民政局进行反映，由区民政局协调处理。</w:t>
      </w:r>
    </w:p>
    <w:p>
      <w:pPr>
        <w:ind w:firstLine="480"/>
        <w:jc w:val="both"/>
      </w:pPr>
      <w:r>
        <w:rPr>
          <w:sz w:val="24"/>
        </w:rPr>
        <w:t>11.6合同解除或终止后15天内，乙方未退还甲方已付但乙方未提供服务的费用、交还场地及设备设施的，每迟延一天，按项目运营经费的0.01%向甲方支付违约金。</w:t>
      </w:r>
    </w:p>
    <w:p>
      <w:pPr>
        <w:ind w:firstLine="480"/>
        <w:jc w:val="both"/>
      </w:pPr>
      <w:r>
        <w:rPr>
          <w:sz w:val="24"/>
        </w:rPr>
        <w:t>十</w:t>
      </w:r>
      <w:r>
        <w:rPr>
          <w:sz w:val="24"/>
        </w:rPr>
        <w:t>二</w:t>
      </w:r>
      <w:r>
        <w:rPr>
          <w:sz w:val="24"/>
        </w:rPr>
        <w:t>、合同签订地</w:t>
      </w:r>
    </w:p>
    <w:p>
      <w:pPr>
        <w:ind w:firstLine="480"/>
        <w:jc w:val="left"/>
      </w:pPr>
      <w:r>
        <w:rPr>
          <w:sz w:val="24"/>
        </w:rPr>
        <w:t>本合同签订地为广州市</w:t>
      </w:r>
      <w:r>
        <w:rPr>
          <w:sz w:val="21"/>
          <w:u w:val="single"/>
        </w:rPr>
        <w:t xml:space="preserve"> </w:t>
      </w:r>
      <w:r>
        <w:rPr>
          <w:sz w:val="24"/>
          <w:u w:val="single"/>
        </w:rPr>
        <w:t>南沙</w:t>
      </w:r>
      <w:r>
        <w:rPr>
          <w:sz w:val="21"/>
          <w:u w:val="single"/>
        </w:rPr>
        <w:t xml:space="preserve"> </w:t>
      </w:r>
      <w:r>
        <w:rPr>
          <w:sz w:val="24"/>
        </w:rPr>
        <w:t>区。</w:t>
      </w:r>
    </w:p>
    <w:p>
      <w:pPr>
        <w:ind w:firstLine="480"/>
        <w:jc w:val="both"/>
      </w:pPr>
      <w:r>
        <w:rPr>
          <w:sz w:val="24"/>
        </w:rPr>
        <w:t>十</w:t>
      </w:r>
      <w:r>
        <w:rPr>
          <w:sz w:val="24"/>
        </w:rPr>
        <w:t>三</w:t>
      </w:r>
      <w:r>
        <w:rPr>
          <w:sz w:val="24"/>
        </w:rPr>
        <w:t>、合同文本</w:t>
      </w:r>
    </w:p>
    <w:p>
      <w:pPr>
        <w:ind w:firstLine="480"/>
        <w:jc w:val="left"/>
      </w:pPr>
      <w:r>
        <w:rPr>
          <w:sz w:val="24"/>
        </w:rPr>
        <w:t>本合同一式肆份，双方各执贰份。各份具有同等法律效力。本合同的所有附件均为本合同不可分割的组成部分，与合同正文同具法律效力。</w:t>
      </w:r>
    </w:p>
    <w:p>
      <w:pPr>
        <w:ind w:firstLine="480"/>
        <w:jc w:val="both"/>
      </w:pPr>
      <w:r>
        <w:rPr>
          <w:sz w:val="24"/>
        </w:rPr>
        <w:t>十</w:t>
      </w:r>
      <w:r>
        <w:rPr>
          <w:sz w:val="24"/>
        </w:rPr>
        <w:t>四</w:t>
      </w:r>
      <w:r>
        <w:rPr>
          <w:sz w:val="24"/>
        </w:rPr>
        <w:t>、合同生效</w:t>
      </w:r>
      <w:r>
        <w:rPr>
          <w:sz w:val="24"/>
        </w:rPr>
        <w:t>及附件</w:t>
      </w:r>
    </w:p>
    <w:p>
      <w:pPr>
        <w:ind w:firstLine="480"/>
        <w:jc w:val="left"/>
      </w:pPr>
      <w:r>
        <w:rPr>
          <w:sz w:val="24"/>
        </w:rPr>
        <w:t>14.1</w:t>
      </w:r>
      <w:r>
        <w:rPr>
          <w:sz w:val="24"/>
        </w:rPr>
        <w:t>本合同自双方法定代表人（或授权代表）签字并加盖公章（或合同专用章）之日起生效。</w:t>
      </w:r>
    </w:p>
    <w:p>
      <w:pPr>
        <w:ind w:firstLine="480"/>
        <w:jc w:val="both"/>
      </w:pPr>
      <w:r>
        <w:rPr>
          <w:sz w:val="24"/>
        </w:rPr>
        <w:t>14.2</w:t>
      </w:r>
      <w:r>
        <w:rPr>
          <w:sz w:val="24"/>
        </w:rPr>
        <w:t>下列文件为本合同附件：</w:t>
      </w:r>
    </w:p>
    <w:p>
      <w:pPr>
        <w:ind w:firstLine="480"/>
        <w:jc w:val="both"/>
      </w:pPr>
      <w:r>
        <w:rPr>
          <w:sz w:val="24"/>
        </w:rPr>
        <w:t>（</w:t>
      </w:r>
      <w:r>
        <w:rPr>
          <w:sz w:val="24"/>
        </w:rPr>
        <w:t>1）加盖乙方公章的乙方合法注册登记文件复印件（含联合体单位的登记文件）</w:t>
      </w:r>
    </w:p>
    <w:p>
      <w:pPr>
        <w:ind w:firstLine="480"/>
        <w:jc w:val="both"/>
      </w:pPr>
      <w:r>
        <w:rPr>
          <w:sz w:val="24"/>
        </w:rPr>
        <w:t>（</w:t>
      </w:r>
      <w:r>
        <w:rPr>
          <w:sz w:val="24"/>
        </w:rPr>
        <w:t>2）服务量化指标表</w:t>
      </w:r>
    </w:p>
    <w:p>
      <w:pPr>
        <w:ind w:firstLine="480"/>
        <w:jc w:val="both"/>
      </w:pPr>
      <w:r>
        <w:rPr>
          <w:sz w:val="24"/>
        </w:rPr>
        <w:t>（</w:t>
      </w:r>
      <w:r>
        <w:rPr>
          <w:sz w:val="24"/>
        </w:rPr>
        <w:t>3）配备人员花名册</w:t>
      </w:r>
    </w:p>
    <w:p>
      <w:pPr>
        <w:ind w:firstLine="480"/>
        <w:jc w:val="both"/>
      </w:pPr>
      <w:r>
        <w:rPr>
          <w:sz w:val="24"/>
        </w:rPr>
        <w:t>（</w:t>
      </w:r>
      <w:r>
        <w:rPr>
          <w:sz w:val="24"/>
        </w:rPr>
        <w:t>4）其他附件：</w:t>
      </w:r>
      <w:r>
        <w:rPr>
          <w:sz w:val="21"/>
          <w:u w:val="single"/>
        </w:rPr>
        <w:t xml:space="preserve">                   </w:t>
      </w:r>
    </w:p>
    <w:p>
      <w:pPr>
        <w:ind w:firstLine="480"/>
      </w:pPr>
    </w:p>
    <w:p>
      <w:pPr>
        <w:ind w:firstLine="480"/>
        <w:jc w:val="left"/>
      </w:pPr>
    </w:p>
    <w:p>
      <w:pPr>
        <w:ind w:firstLine="480"/>
        <w:jc w:val="left"/>
      </w:pPr>
    </w:p>
    <w:p>
      <w:pPr>
        <w:ind w:firstLine="480"/>
        <w:jc w:val="left"/>
      </w:pPr>
      <w:r>
        <w:rPr>
          <w:sz w:val="24"/>
        </w:rPr>
        <w:t>合同签署：</w:t>
      </w:r>
    </w:p>
    <w:p>
      <w:pPr>
        <w:ind w:firstLine="480"/>
        <w:jc w:val="left"/>
      </w:pPr>
    </w:p>
    <w:p>
      <w:pPr>
        <w:ind w:firstLine="480"/>
        <w:jc w:val="left"/>
      </w:pPr>
      <w:r>
        <w:rPr>
          <w:sz w:val="24"/>
        </w:rPr>
        <w:t>甲方（盖章）：</w:t>
      </w:r>
    </w:p>
    <w:p>
      <w:pPr>
        <w:ind w:firstLine="480"/>
        <w:jc w:val="left"/>
      </w:pPr>
      <w:r>
        <w:rPr>
          <w:sz w:val="24"/>
        </w:rPr>
        <w:t>法定代表人（或授权代表）</w:t>
      </w:r>
      <w:r>
        <w:rPr>
          <w:sz w:val="24"/>
        </w:rPr>
        <w:t>签字</w:t>
      </w:r>
      <w:r>
        <w:rPr>
          <w:sz w:val="24"/>
        </w:rPr>
        <w:t>：</w:t>
      </w:r>
      <w:r>
        <w:rPr>
          <w:sz w:val="24"/>
        </w:rPr>
        <w:t xml:space="preserve"> </w:t>
      </w:r>
    </w:p>
    <w:p>
      <w:pPr>
        <w:ind w:firstLine="48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80"/>
        <w:jc w:val="left"/>
      </w:pPr>
    </w:p>
    <w:p>
      <w:pPr>
        <w:ind w:firstLine="480"/>
        <w:jc w:val="left"/>
      </w:pPr>
      <w:r>
        <w:rPr>
          <w:sz w:val="24"/>
        </w:rPr>
        <w:t>乙方（盖章）：</w:t>
      </w:r>
      <w:r>
        <w:rPr>
          <w:sz w:val="24"/>
        </w:rPr>
        <w:t xml:space="preserve">  </w:t>
      </w:r>
    </w:p>
    <w:p>
      <w:pPr>
        <w:ind w:firstLine="480"/>
        <w:jc w:val="left"/>
      </w:pPr>
      <w:r>
        <w:rPr>
          <w:sz w:val="24"/>
        </w:rPr>
        <w:t>法定代表人（或授权代表）</w:t>
      </w:r>
      <w:r>
        <w:rPr>
          <w:sz w:val="24"/>
        </w:rPr>
        <w:t>签字</w:t>
      </w:r>
      <w:r>
        <w:rPr>
          <w:sz w:val="24"/>
        </w:rPr>
        <w:t>：</w:t>
      </w:r>
    </w:p>
    <w:p>
      <w:pPr>
        <w:ind w:firstLine="48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82"/>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440115-2022-04340</w:t>
      </w:r>
    </w:p>
    <w:p>
      <w:pPr>
        <w:jc w:val="center"/>
      </w:pPr>
      <w:r>
        <w:rPr>
          <w:b/>
          <w:sz w:val="24"/>
        </w:rPr>
        <w:t>采购项目编号：</w:t>
      </w:r>
      <w:r>
        <w:rPr>
          <w:b/>
          <w:sz w:val="24"/>
        </w:rPr>
        <w:t>PZGKCZ220313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品正招标采购（广州）有限公司</w:t>
      </w:r>
    </w:p>
    <w:p>
      <w:pPr>
        <w:ind w:firstLine="480"/>
      </w:pPr>
      <w:r>
        <w:rPr/>
        <w:t>你方组织的</w:t>
      </w:r>
      <w:r>
        <w:rPr>
          <w:u w:val="single"/>
        </w:rPr>
        <w:t>广州市南沙区龙穴街综合养老服务中心运营项目</w:t>
      </w:r>
      <w:r>
        <w:rPr/>
        <w:t>项目的招标[采购项目编号为：</w:t>
      </w:r>
      <w:r>
        <w:rPr>
          <w:u w:val="single"/>
        </w:rPr>
        <w:t>PZGKCZ220313</w:t>
      </w:r>
      <w:r>
        <w:rPr/>
        <w:t>]，我方愿参与投标。</w:t>
      </w:r>
    </w:p>
    <w:p>
      <w:pPr>
        <w:ind w:firstLine="480"/>
      </w:pPr>
      <w:r>
        <w:rPr/>
        <w:t>我方确认收到贵方提供的</w:t>
      </w:r>
      <w:r>
        <w:rPr>
          <w:u w:val="single"/>
        </w:rPr>
        <w:t>广州市南沙区龙穴街综合养老服务中心运营项目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品正招标采购（广州）有限公司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广州市南沙区龙穴街综合养老服务中心运营项目</w:t>
      </w:r>
      <w:r>
        <w:rPr/>
        <w:t>项目采购[采购项目编号为</w:t>
      </w:r>
      <w:r>
        <w:rPr/>
        <w:t>PZGKCZ220313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广州市南沙区人民政府龙穴街道办事处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品正招标采购（广州）有限公司</w:t>
      </w:r>
    </w:p>
    <w:p>
      <w:pPr>
        <w:ind w:firstLine="480"/>
      </w:pPr>
      <w:r>
        <w:rPr/>
        <w:t>如果我方在贵采购代理机构组织的</w:t>
      </w:r>
      <w:r>
        <w:rPr/>
        <w:t>广州市南沙区龙穴街综合养老服务中心运营项目</w:t>
      </w:r>
      <w:r>
        <w:rPr/>
        <w:t>招标中获中标（采购项目编号：</w:t>
      </w:r>
      <w:r>
        <w:rPr/>
        <w:t>PZGKCZ220313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品正招标采购（广州）有限公司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