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440115-2022-04031</w:t>
      </w:r>
    </w:p>
    <w:p>
      <w:pPr>
        <w:jc w:val="center"/>
      </w:pPr>
      <w:r>
        <w:rPr>
          <w:b/>
          <w:sz w:val="24"/>
        </w:rPr>
        <w:t>采购项目编号：</w:t>
      </w:r>
      <w:r>
        <w:rPr>
          <w:b/>
          <w:sz w:val="24"/>
        </w:rPr>
        <w:t>PZGKCZ220311</w:t>
      </w:r>
    </w:p>
    <w:p>
      <w:pPr>
        <w:jc w:val="center"/>
      </w:pPr>
      <w:r>
        <w:rPr>
          <w:b/>
          <w:sz w:val="24"/>
        </w:rPr>
        <w:t>项目名称：</w:t>
      </w:r>
      <w:r>
        <w:rPr>
          <w:b/>
          <w:sz w:val="24"/>
        </w:rPr>
        <w:t>广州市南沙区综合养老服务中心运营项目</w:t>
      </w:r>
    </w:p>
    <w:p>
      <w:pPr>
        <w:jc w:val="center"/>
      </w:pPr>
      <w:r>
        <w:rPr>
          <w:b/>
          <w:sz w:val="24"/>
        </w:rPr>
        <w:t>采购人：</w:t>
      </w:r>
      <w:r>
        <w:rPr>
          <w:b/>
          <w:sz w:val="24"/>
        </w:rPr>
        <w:t>广州市南沙区民政局</w:t>
      </w:r>
    </w:p>
    <w:p>
      <w:pPr>
        <w:jc w:val="center"/>
      </w:pPr>
      <w:r>
        <w:rPr>
          <w:b/>
          <w:sz w:val="24"/>
        </w:rPr>
        <w:t>采购代理机构：</w:t>
      </w:r>
      <w:r>
        <w:rPr>
          <w:b/>
          <w:sz w:val="24"/>
        </w:rPr>
        <w:t>品正招标采购（广州）有限公司</w:t>
      </w:r>
    </w:p>
    <w:p>
      <w:pPr>
        <w:ind w:firstLine="480"/>
      </w:pPr>
    </w:p>
    <w:p>
      <w:r>
        <w:rPr/>
        <w:t xml:space="preserve"> </w:t>
      </w:r>
    </w:p>
    <w:p/>
    <w:p>
      <w:pPr>
        <w:jc w:val="center"/>
      </w:pPr>
      <w:r>
        <w:rPr>
          <w:b/>
          <w:sz w:val="36"/>
        </w:rPr>
        <w:t>第一章 磋商邀请</w:t>
      </w:r>
    </w:p>
    <w:p>
      <w:pPr>
        <w:ind w:firstLine="480"/>
      </w:pPr>
      <w:r>
        <w:rPr/>
        <w:t>品正招标采购（广州）有限公司</w:t>
      </w:r>
      <w:r>
        <w:rPr/>
        <w:t>受</w:t>
      </w:r>
      <w:r>
        <w:rPr/>
        <w:t>广州市南沙区民政局</w:t>
      </w:r>
      <w:r>
        <w:rPr/>
        <w:t>的委托，采用</w:t>
      </w:r>
      <w:r>
        <w:rPr/>
        <w:t>竞争性磋商</w:t>
      </w:r>
      <w:r>
        <w:rPr/>
        <w:t>方式组织采购</w:t>
      </w:r>
      <w:r>
        <w:rPr/>
        <w:t>广州市南沙区综合养老服务中心运营项目</w:t>
      </w:r>
      <w:r>
        <w:rPr/>
        <w:t>。欢迎符合资格条件的供应商参加。</w:t>
      </w:r>
    </w:p>
    <w:p>
      <w:r>
        <w:rPr>
          <w:b/>
          <w:sz w:val="28"/>
        </w:rPr>
        <w:t>一.项目概述</w:t>
      </w:r>
    </w:p>
    <w:p>
      <w:r>
        <w:rPr>
          <w:b/>
          <w:sz w:val="24"/>
        </w:rPr>
        <w:t>1.名称与编号</w:t>
      </w:r>
    </w:p>
    <w:p>
      <w:pPr>
        <w:ind w:firstLine="480"/>
      </w:pPr>
      <w:r>
        <w:rPr/>
        <w:t>采购项目名称：</w:t>
      </w:r>
      <w:r>
        <w:rPr/>
        <w:t>广州市南沙区综合养老服务中心运营项目</w:t>
      </w:r>
    </w:p>
    <w:p>
      <w:pPr>
        <w:ind w:firstLine="480"/>
      </w:pPr>
      <w:r>
        <w:rPr/>
        <w:t>采购计划编号：</w:t>
      </w:r>
      <w:r>
        <w:rPr/>
        <w:t>440115-2022-04031</w:t>
      </w:r>
    </w:p>
    <w:p>
      <w:pPr>
        <w:ind w:firstLine="480"/>
      </w:pPr>
      <w:r>
        <w:rPr/>
        <w:t>采购项目编号：</w:t>
      </w:r>
      <w:r>
        <w:rPr/>
        <w:t>PZGKCZ220311</w:t>
      </w:r>
    </w:p>
    <w:p>
      <w:pPr>
        <w:ind w:firstLine="480"/>
      </w:pPr>
      <w:r>
        <w:rPr/>
        <w:t>采购方式：</w:t>
      </w:r>
      <w:r>
        <w:rPr/>
        <w:t>竞争性磋商</w:t>
      </w:r>
    </w:p>
    <w:p>
      <w:pPr>
        <w:ind w:firstLine="480"/>
      </w:pPr>
      <w:r>
        <w:rPr/>
        <w:t>预算金额：</w:t>
      </w:r>
      <w:r>
        <w:rPr/>
        <w:t>2,000,000.00</w:t>
      </w:r>
      <w:r>
        <w:rPr/>
        <w:t>元</w:t>
      </w:r>
    </w:p>
    <w:p>
      <w:r>
        <w:rPr>
          <w:b/>
          <w:sz w:val="24"/>
        </w:rPr>
        <w:t>2.项目内容及需求情况（采购项目技术规格、参数及要求）</w:t>
      </w:r>
    </w:p>
    <w:p>
      <w:pPr>
        <w:ind w:firstLine="480"/>
      </w:pPr>
    </w:p>
    <w:p/>
    <w:p>
      <w:r>
        <w:rPr/>
        <w:t>采购包1(广州市南沙区综合养老服务中心运营项目):</w:t>
      </w:r>
    </w:p>
    <w:p>
      <w:r>
        <w:rPr/>
        <w:t>采购包预算金额：2,000,000.00元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其他社会服务</w:t>
            </w:r>
          </w:p>
        </w:tc>
        <w:tc>
          <w:tcPr>
            <w:tcW w:type="dxa" w:w="2136"/>
          </w:tcPr>
          <w:p>
            <w:r>
              <w:rPr/>
              <w:t>运营管理南沙区综合养老服务中心项目，开展区域统筹、服务示范、人员实训、技术支持等服务，并面向周边社区居民提供养生活照料、康复护理等居家社区养老服务。</w:t>
            </w:r>
          </w:p>
        </w:tc>
        <w:tc>
          <w:tcPr>
            <w:tcW w:type="dxa" w:w="1187"/>
          </w:tcPr>
          <w:p>
            <w:r>
              <w:rPr/>
              <w:t>1.00(项)</w:t>
            </w:r>
          </w:p>
        </w:tc>
        <w:tc>
          <w:tcPr>
            <w:tcW w:type="dxa" w:w="1187"/>
          </w:tcPr>
          <w:p>
            <w:r>
              <w:rPr/>
              <w:t>详见第二章</w:t>
            </w:r>
          </w:p>
        </w:tc>
        <w:tc>
          <w:tcPr>
            <w:tcW w:type="dxa" w:w="1187"/>
          </w:tcPr>
          <w:p>
            <w:r>
              <w:rPr/>
              <w:t>否</w:t>
            </w:r>
          </w:p>
        </w:tc>
      </w:tr>
    </w:tbl>
    <w:p/>
    <w:p>
      <w:r>
        <w:rPr/>
        <w:t>本采购包接受联合体响应</w:t>
      </w:r>
    </w:p>
    <w:p/>
    <w:p>
      <w:r>
        <w:rPr/>
        <w:t>合同履行期限：一年。2022年9月1日-2023年8月31日（具体时间以合同签订为准）</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分公司已获得总公司有效授权的，总公司取得的相关资质证书对分公司有效。若法律法规或招标文件另有规定的从其规定）</w:t>
      </w:r>
    </w:p>
    <w:p/>
    <w:p>
      <w:r>
        <w:rPr/>
        <w:t>2）有依法缴纳税收和社会保障资金的良好记录：有依法缴纳税收和社会保障资金的良好记录。（提供书面承诺声明函（格式自拟））</w:t>
      </w:r>
    </w:p>
    <w:p/>
    <w:p>
      <w:r>
        <w:rPr/>
        <w:t>3）具有良好的商业信誉和健全的财务会计制度：具有良好的商业信誉和健全的财务会计制度。（提供书面承诺声明函（格式自拟））</w:t>
      </w:r>
    </w:p>
    <w:p/>
    <w:p>
      <w:r>
        <w:rPr/>
        <w:t>4）履行合同所必需的设备和专业技术能力：具有履行合同所必需的设备和专业技术能力。（提供书面承诺声明函（格式自拟））</w:t>
      </w:r>
    </w:p>
    <w:p/>
    <w:p>
      <w:r>
        <w:rPr/>
        <w:t>5）参加采购活动前3年内，在经营活动中没有重大违法记录：参加采购活动前三年内，在经营活动中没有重大违法记录。（提供书面承诺声明函（格式自拟））。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采购包1（广州市南沙区综合养老服务中心运营项目）：</w:t>
      </w:r>
      <w:r>
        <w:rPr/>
        <w:t>采购包整体专门面向中小企业。供应商提供的货物或服务须全部由中小企业生产且使用该中小企业商号或注册商标，该中小企业须符合本项目采购标的对应行业（本项目行业为： 其他未列明行业 ）的政策划分标准（监狱企业、残疾人福利性单位视同小微企业）。中小企业以供应商填写的《中小企业声明函》（见响应文件格式）为判定标准；残疾人福利性单位以供应商提供的《残疾人福利性单位声明函》（见响应文件格式）为判定标准；监狱企业须供应商提供由省级以上监狱管理局、戒毒管理局（含新疆生产建设兵团）出具的属于监狱企业的证明文件，否则不予认定。联合体投标的，各方需均符合本项目采购标的对应行业（本项目行业为： 其他未列明行业 ）的政策划分标准（监狱企业、残疾人福利性单位视同小微企业）。</w:t>
      </w:r>
    </w:p>
    <w:p/>
    <w:p>
      <w:r>
        <w:rPr>
          <w:b/>
          <w:sz w:val="24"/>
        </w:rPr>
        <w:t>3.本项目特定的资格要求：</w:t>
      </w:r>
    </w:p>
    <w:p>
      <w:pPr>
        <w:ind w:firstLine="480"/>
      </w:pPr>
    </w:p>
    <w:p/>
    <w:p>
      <w:r>
        <w:rPr/>
        <w:t>采购包1（广州市南沙区综合养老服务中心运营项目）：</w:t>
      </w:r>
    </w:p>
    <w:p/>
    <w:p>
      <w:r>
        <w:rPr/>
        <w:t>1)供应商未被列入“信用中国”网站(www.creditchina.gov.cn)“记录失信被执行人或重大税收违失信主体或政府采购严重违法失信行为记录名单”记录名单； 不处于中国政府采购网(www.ccgp.gov.cn)“政府采购严重违法失信行为信息记录”中的禁止参加政府采购活动期间。（以采购代理机构于投标（响应）截止时间当天在“信用中国”网站（www.creditchina.gov.cn） 及中国政府采购网（http://www.ccgp.gov.cn/） 查询结果为准，如相关失信记录已失效，供应商需提供相关证明资料）。联合体投标的，各方均需满足上述要求。</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（提供《响应承诺函》）</w:t>
      </w:r>
    </w:p>
    <w:p/>
    <w:p>
      <w:r>
        <w:rPr/>
        <w:t>3)本项目接受联合体投标。联合体投标的，联合体各方之间应当签订“共同投标协议”，明确约定联合体各方承担的工作和相应的责任，并将共同投标协议连同投标文件一并提交。联合体各方签订共同投标协议后，不得再以自己名义单独在同一项目中投标，也不得组成新的联合体参加同一项目投标。</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品正招标采购（广州）有限公司网站（http://www.pinzhengzhaobiao.com/）</w:t>
      </w:r>
      <w:r>
        <w:rPr/>
        <w:t>。</w:t>
      </w:r>
    </w:p>
    <w:p>
      <w:r>
        <w:rPr>
          <w:b/>
          <w:sz w:val="28"/>
        </w:rPr>
        <w:t>六.本项目联系方式：</w:t>
      </w:r>
    </w:p>
    <w:p>
      <w:r>
        <w:rPr>
          <w:b/>
          <w:sz w:val="24"/>
        </w:rPr>
        <w:t>1.采购人信息</w:t>
      </w:r>
    </w:p>
    <w:p>
      <w:pPr>
        <w:ind w:firstLine="480"/>
      </w:pPr>
      <w:r>
        <w:rPr/>
        <w:t>名称：</w:t>
      </w:r>
      <w:r>
        <w:rPr/>
        <w:t>广州市南沙区民政局</w:t>
      </w:r>
    </w:p>
    <w:p>
      <w:pPr>
        <w:ind w:firstLine="480"/>
      </w:pPr>
      <w:r>
        <w:rPr/>
        <w:t>地址：</w:t>
      </w:r>
      <w:r>
        <w:rPr/>
        <w:t>广州市南沙区环市大道中13号</w:t>
      </w:r>
    </w:p>
    <w:p>
      <w:pPr>
        <w:ind w:firstLine="480"/>
      </w:pPr>
      <w:r>
        <w:rPr/>
        <w:t>联系方式：</w:t>
      </w:r>
      <w:r>
        <w:rPr/>
        <w:t>34683395</w:t>
      </w:r>
    </w:p>
    <w:p>
      <w:r>
        <w:rPr>
          <w:b/>
          <w:sz w:val="24"/>
        </w:rPr>
        <w:t>2.采购代理机构信息</w:t>
      </w:r>
    </w:p>
    <w:p>
      <w:pPr>
        <w:ind w:firstLine="480"/>
      </w:pPr>
      <w:r>
        <w:rPr/>
        <w:t>名称：</w:t>
      </w:r>
      <w:r>
        <w:rPr/>
        <w:t>品正招标采购（广州）有限公司</w:t>
      </w:r>
    </w:p>
    <w:p>
      <w:pPr>
        <w:ind w:firstLine="480"/>
      </w:pPr>
      <w:r>
        <w:rPr/>
        <w:t>地址：</w:t>
      </w:r>
      <w:r>
        <w:rPr/>
        <w:t>广东省广州市南沙区东涌镇大同村市南公路13号茂源创意园A座302</w:t>
      </w:r>
    </w:p>
    <w:p>
      <w:pPr>
        <w:ind w:firstLine="480"/>
      </w:pPr>
      <w:r>
        <w:rPr/>
        <w:t>联系方式：</w:t>
      </w:r>
      <w:r>
        <w:rPr/>
        <w:t>(020)22634050</w:t>
      </w:r>
    </w:p>
    <w:p>
      <w:r>
        <w:rPr>
          <w:b/>
          <w:sz w:val="24"/>
        </w:rPr>
        <w:t>3.项目联系方式</w:t>
      </w:r>
    </w:p>
    <w:p>
      <w:pPr>
        <w:ind w:firstLine="480"/>
      </w:pPr>
      <w:r>
        <w:rPr/>
        <w:t>项目联系人：</w:t>
      </w:r>
      <w:r>
        <w:rPr/>
        <w:t>何小姐</w:t>
      </w:r>
    </w:p>
    <w:p>
      <w:pPr>
        <w:ind w:firstLine="480"/>
      </w:pPr>
      <w:r>
        <w:rPr/>
        <w:t>电话：</w:t>
      </w:r>
      <w:r>
        <w:rPr/>
        <w:t>(020)22634050</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品正招标采购（广州）有限公司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sz w:val="24"/>
        </w:rPr>
        <w:t>一、项目概况</w:t>
      </w:r>
    </w:p>
    <w:p>
      <w:pPr>
        <w:ind w:firstLine="482"/>
        <w:jc w:val="both"/>
      </w:pPr>
      <w:r>
        <w:rPr>
          <w:b/>
          <w:sz w:val="24"/>
        </w:rPr>
        <w:t>（一）项目名称</w:t>
      </w:r>
    </w:p>
    <w:p>
      <w:pPr>
        <w:ind w:firstLine="480"/>
        <w:jc w:val="both"/>
      </w:pPr>
      <w:r>
        <w:rPr>
          <w:sz w:val="24"/>
        </w:rPr>
        <w:t>广州市南沙区</w:t>
      </w:r>
      <w:r>
        <w:rPr>
          <w:sz w:val="24"/>
        </w:rPr>
        <w:t>综合养老服务中心</w:t>
      </w:r>
      <w:r>
        <w:rPr>
          <w:sz w:val="24"/>
        </w:rPr>
        <w:t>运营项目</w:t>
      </w:r>
    </w:p>
    <w:p>
      <w:pPr>
        <w:ind w:firstLine="482"/>
        <w:jc w:val="both"/>
      </w:pPr>
      <w:r>
        <w:rPr>
          <w:b/>
          <w:sz w:val="24"/>
        </w:rPr>
        <w:t>（二）</w:t>
      </w:r>
      <w:r>
        <w:rPr>
          <w:b/>
          <w:sz w:val="24"/>
        </w:rPr>
        <w:t>项目时间</w:t>
      </w:r>
    </w:p>
    <w:p>
      <w:pPr>
        <w:ind w:firstLine="480"/>
        <w:jc w:val="both"/>
      </w:pPr>
      <w:r>
        <w:rPr>
          <w:sz w:val="24"/>
        </w:rPr>
        <w:t>一年。</w:t>
      </w:r>
      <w:r>
        <w:rPr>
          <w:sz w:val="24"/>
        </w:rPr>
        <w:t>202</w:t>
      </w:r>
      <w:r>
        <w:rPr>
          <w:sz w:val="24"/>
        </w:rPr>
        <w:t>2</w:t>
      </w:r>
      <w:r>
        <w:rPr>
          <w:sz w:val="24"/>
        </w:rPr>
        <w:t>年</w:t>
      </w:r>
      <w:r>
        <w:rPr>
          <w:sz w:val="24"/>
        </w:rPr>
        <w:t>9</w:t>
      </w:r>
      <w:r>
        <w:rPr>
          <w:sz w:val="24"/>
        </w:rPr>
        <w:t>月</w:t>
      </w:r>
      <w:r>
        <w:rPr>
          <w:sz w:val="24"/>
        </w:rPr>
        <w:t>1日-202</w:t>
      </w:r>
      <w:r>
        <w:rPr>
          <w:sz w:val="24"/>
        </w:rPr>
        <w:t>3</w:t>
      </w:r>
      <w:r>
        <w:rPr>
          <w:sz w:val="24"/>
        </w:rPr>
        <w:t>年</w:t>
      </w:r>
      <w:r>
        <w:rPr>
          <w:sz w:val="24"/>
        </w:rPr>
        <w:t>8</w:t>
      </w:r>
      <w:r>
        <w:rPr>
          <w:sz w:val="24"/>
        </w:rPr>
        <w:t>月</w:t>
      </w:r>
      <w:r>
        <w:rPr>
          <w:sz w:val="24"/>
        </w:rPr>
        <w:t>31日</w:t>
      </w:r>
      <w:r>
        <w:rPr>
          <w:sz w:val="24"/>
        </w:rPr>
        <w:t>（</w:t>
      </w:r>
      <w:r>
        <w:rPr>
          <w:sz w:val="24"/>
        </w:rPr>
        <w:t>具体时间以合同签订为准</w:t>
      </w:r>
      <w:r>
        <w:rPr>
          <w:sz w:val="24"/>
        </w:rPr>
        <w:t>）</w:t>
      </w:r>
    </w:p>
    <w:p>
      <w:pPr>
        <w:ind w:firstLine="482"/>
        <w:jc w:val="both"/>
      </w:pPr>
      <w:r>
        <w:rPr>
          <w:b/>
          <w:sz w:val="24"/>
        </w:rPr>
        <w:t>（</w:t>
      </w:r>
      <w:r>
        <w:rPr>
          <w:b/>
          <w:sz w:val="24"/>
        </w:rPr>
        <w:t>三）项目报价</w:t>
      </w:r>
    </w:p>
    <w:p>
      <w:pPr>
        <w:ind w:firstLine="480"/>
        <w:jc w:val="both"/>
      </w:pPr>
      <w:r>
        <w:rPr>
          <w:sz w:val="24"/>
        </w:rPr>
        <w:t>项目费用由项目运营经费、项目服务奖励以及服务对象资助经费组成。</w:t>
      </w:r>
    </w:p>
    <w:p>
      <w:pPr>
        <w:ind w:firstLine="480"/>
        <w:jc w:val="both"/>
      </w:pPr>
      <w:r>
        <w:rPr>
          <w:sz w:val="24"/>
        </w:rPr>
        <w:t>本项目最高投标限价为人民币</w:t>
      </w:r>
      <w:r>
        <w:rPr>
          <w:sz w:val="24"/>
        </w:rPr>
        <w:t>200</w:t>
      </w:r>
      <w:r>
        <w:rPr>
          <w:sz w:val="24"/>
        </w:rPr>
        <w:t>0000.00元</w:t>
      </w:r>
      <w:r>
        <w:rPr>
          <w:sz w:val="24"/>
        </w:rPr>
        <w:t>（报价含人民币</w:t>
      </w:r>
      <w:r>
        <w:rPr>
          <w:sz w:val="24"/>
        </w:rPr>
        <w:t>80万元的</w:t>
      </w:r>
      <w:r>
        <w:rPr>
          <w:sz w:val="24"/>
        </w:rPr>
        <w:t>项目服务奖励</w:t>
      </w:r>
      <w:r>
        <w:rPr>
          <w:sz w:val="24"/>
        </w:rPr>
        <w:t>费用</w:t>
      </w:r>
      <w:r>
        <w:rPr>
          <w:sz w:val="24"/>
        </w:rPr>
        <w:t>）</w:t>
      </w:r>
      <w:r>
        <w:rPr>
          <w:sz w:val="24"/>
        </w:rPr>
        <w:t>。其中，运营经费</w:t>
      </w:r>
      <w:r>
        <w:rPr>
          <w:sz w:val="24"/>
        </w:rPr>
        <w:t>控制价为人民币</w:t>
      </w:r>
      <w:r>
        <w:rPr>
          <w:sz w:val="24"/>
        </w:rPr>
        <w:t>120</w:t>
      </w:r>
      <w:r>
        <w:rPr>
          <w:sz w:val="24"/>
        </w:rPr>
        <w:t>0000.00元</w:t>
      </w:r>
      <w:r>
        <w:rPr>
          <w:sz w:val="24"/>
        </w:rPr>
        <w:t>；项目服务奖励</w:t>
      </w:r>
      <w:r>
        <w:rPr>
          <w:sz w:val="24"/>
        </w:rPr>
        <w:t>费用</w:t>
      </w:r>
      <w:r>
        <w:rPr>
          <w:sz w:val="24"/>
        </w:rPr>
        <w:t>控制价为人民币</w:t>
      </w:r>
      <w:r>
        <w:rPr>
          <w:sz w:val="24"/>
        </w:rPr>
        <w:t>80</w:t>
      </w:r>
      <w:r>
        <w:rPr>
          <w:sz w:val="24"/>
        </w:rPr>
        <w:t>0000.00元</w:t>
      </w:r>
      <w:r>
        <w:rPr>
          <w:sz w:val="24"/>
        </w:rPr>
        <w:t>（非竞争性费用报价，根据评估结果等级支付）</w:t>
      </w:r>
      <w:r>
        <w:rPr>
          <w:sz w:val="24"/>
        </w:rPr>
        <w:t>。</w:t>
      </w:r>
      <w:r>
        <w:rPr>
          <w:sz w:val="24"/>
        </w:rPr>
        <w:t>运营经费的</w:t>
      </w:r>
      <w:r>
        <w:rPr>
          <w:sz w:val="24"/>
        </w:rPr>
        <w:t>报价高于上述控制价的视为报价无效，为防止恶意竞争，</w:t>
      </w:r>
      <w:r>
        <w:rPr>
          <w:sz w:val="24"/>
        </w:rPr>
        <w:t>运营经费的</w:t>
      </w:r>
      <w:r>
        <w:rPr>
          <w:sz w:val="24"/>
        </w:rPr>
        <w:t>报价</w:t>
      </w:r>
      <w:r>
        <w:rPr>
          <w:sz w:val="24"/>
        </w:rPr>
        <w:t>经评标委员会评审认为过低的，需提供相关证明材料证明其报价合理性</w:t>
      </w:r>
      <w:r>
        <w:rPr>
          <w:sz w:val="24"/>
        </w:rPr>
        <w:t>。</w:t>
      </w:r>
      <w:r>
        <w:rPr>
          <w:sz w:val="24"/>
        </w:rPr>
        <w:t>项目服务奖励以及服务对象资助经费根据评估结果和实际服务人次</w:t>
      </w:r>
      <w:r>
        <w:rPr>
          <w:sz w:val="24"/>
        </w:rPr>
        <w:t>按相关文件规定</w:t>
      </w:r>
      <w:r>
        <w:rPr>
          <w:sz w:val="24"/>
        </w:rPr>
        <w:t>据实结算。</w:t>
      </w:r>
    </w:p>
    <w:p>
      <w:pPr>
        <w:jc w:val="center"/>
      </w:pPr>
      <w:r>
        <w:rPr>
          <w:sz w:val="24"/>
        </w:rPr>
        <w:t>表</w:t>
      </w:r>
      <w:r>
        <w:rPr>
          <w:sz w:val="24"/>
        </w:rPr>
        <w:t>1</w:t>
      </w:r>
      <w:r>
        <w:rPr>
          <w:sz w:val="24"/>
        </w:rPr>
        <w:t>综合养老服务中心</w:t>
      </w:r>
      <w:r>
        <w:rPr>
          <w:sz w:val="24"/>
        </w:rPr>
        <w:t>运营项目</w:t>
      </w:r>
      <w:r>
        <w:rPr>
          <w:sz w:val="24"/>
        </w:rPr>
        <w:t>经费一览表</w:t>
      </w:r>
    </w:p>
    <w:tbl>
      <w:tblPr>
        <w:tblW w:w="0" w:type="auto"/>
        <w:tblBorders>
          <w:top w:val="none" w:color="000000" w:sz="4"/>
          <w:left w:val="none" w:color="000000" w:sz="4"/>
          <w:bottom w:val="none" w:color="000000" w:sz="4"/>
          <w:right w:val="none" w:color="000000" w:sz="4"/>
          <w:insideH w:val="none"/>
          <w:insideV w:val="none"/>
        </w:tblBorders>
      </w:tblPr>
      <w:tblGrid>
        <w:gridCol w:w="2144"/>
        <w:gridCol w:w="1629"/>
        <w:gridCol w:w="1629"/>
        <w:gridCol w:w="1629"/>
        <w:gridCol w:w="1043"/>
      </w:tblGrid>
      <w:tr>
        <w:tc>
          <w:tcPr>
            <w:tcW w:type="dxa" w:w="2144"/>
            <w:tcBorders>
              <w:top w:val="single" w:color="000000" w:sz="4"/>
              <w:left w:val="single" w:color="000000" w:sz="4"/>
              <w:bottom w:val="single" w:color="000000" w:sz="4"/>
              <w:right w:val="single" w:color="000000" w:sz="4"/>
            </w:tcBorders>
            <w:shd w:fill="FFFFFF"/>
            <w:vAlign w:val="top"/>
          </w:tcPr>
          <w:p>
            <w:pPr>
              <w:jc w:val="center"/>
            </w:pPr>
            <w:r>
              <w:rPr>
                <w:sz w:val="24"/>
              </w:rPr>
              <w:t>项目</w:t>
            </w:r>
          </w:p>
        </w:tc>
        <w:tc>
          <w:tcPr>
            <w:tcW w:type="dxa" w:w="1629"/>
            <w:tcBorders>
              <w:top w:val="single" w:color="000000" w:sz="4"/>
              <w:left w:val="single" w:color="000000" w:sz="4"/>
              <w:bottom w:val="single" w:color="000000" w:sz="4"/>
              <w:right w:val="single" w:color="000000" w:sz="4"/>
            </w:tcBorders>
            <w:shd w:fill="FFFFFF"/>
            <w:vAlign w:val="top"/>
          </w:tcPr>
          <w:p>
            <w:pPr>
              <w:jc w:val="center"/>
            </w:pPr>
            <w:r>
              <w:rPr>
                <w:sz w:val="21"/>
              </w:rPr>
              <w:t>釆购预算合计</w:t>
            </w:r>
          </w:p>
          <w:p>
            <w:pPr>
              <w:jc w:val="center"/>
            </w:pPr>
            <w:r>
              <w:rPr>
                <w:sz w:val="21"/>
              </w:rPr>
              <w:t>（万元）</w:t>
            </w:r>
          </w:p>
        </w:tc>
        <w:tc>
          <w:tcPr>
            <w:tcW w:type="dxa" w:w="1629"/>
            <w:tcBorders>
              <w:top w:val="single" w:color="000000" w:sz="4"/>
              <w:left w:val="single" w:color="000000" w:sz="4"/>
              <w:bottom w:val="single" w:color="000000" w:sz="4"/>
              <w:right w:val="single" w:color="000000" w:sz="4"/>
            </w:tcBorders>
            <w:shd w:fill="FFFFFF"/>
            <w:vAlign w:val="top"/>
          </w:tcPr>
          <w:p>
            <w:pPr>
              <w:jc w:val="center"/>
            </w:pPr>
            <w:r>
              <w:rPr>
                <w:sz w:val="24"/>
              </w:rPr>
              <w:t>项目运营经费（万元）</w:t>
            </w:r>
          </w:p>
        </w:tc>
        <w:tc>
          <w:tcPr>
            <w:tcW w:type="dxa" w:w="1629"/>
            <w:tcBorders>
              <w:top w:val="single" w:color="000000" w:sz="4"/>
              <w:left w:val="single" w:color="000000" w:sz="4"/>
              <w:bottom w:val="single" w:color="000000" w:sz="4"/>
              <w:right w:val="single" w:color="000000" w:sz="4"/>
            </w:tcBorders>
            <w:shd w:fill="FFFFFF"/>
            <w:vAlign w:val="top"/>
          </w:tcPr>
          <w:p>
            <w:pPr>
              <w:jc w:val="center"/>
            </w:pPr>
            <w:r>
              <w:rPr>
                <w:sz w:val="24"/>
              </w:rPr>
              <w:t>项目服务奖励（万元）</w:t>
            </w:r>
          </w:p>
        </w:tc>
        <w:tc>
          <w:tcPr>
            <w:tcW w:type="dxa" w:w="1043"/>
            <w:tcBorders>
              <w:top w:val="single" w:color="000000" w:sz="4"/>
              <w:left w:val="single" w:color="000000" w:sz="4"/>
              <w:bottom w:val="single" w:color="000000" w:sz="4"/>
              <w:right w:val="single" w:color="000000" w:sz="4"/>
            </w:tcBorders>
            <w:shd w:fill="FFFFFF"/>
            <w:vAlign w:val="top"/>
          </w:tcPr>
          <w:p>
            <w:pPr>
              <w:jc w:val="center"/>
            </w:pPr>
            <w:r>
              <w:rPr>
                <w:sz w:val="24"/>
              </w:rPr>
              <w:t>备注</w:t>
            </w:r>
          </w:p>
        </w:tc>
      </w:tr>
      <w:tr>
        <w:tc>
          <w:tcPr>
            <w:tcW w:type="dxa" w:w="2144"/>
            <w:tcBorders>
              <w:top w:val="none" w:color="000000" w:sz="4"/>
              <w:left w:val="single" w:color="000000" w:sz="4"/>
              <w:bottom w:val="single" w:color="000000" w:sz="4"/>
              <w:right w:val="single" w:color="000000" w:sz="4"/>
            </w:tcBorders>
            <w:shd w:fill="FFFFFF"/>
            <w:vAlign w:val="top"/>
          </w:tcPr>
          <w:p>
            <w:pPr>
              <w:jc w:val="center"/>
            </w:pPr>
            <w:r>
              <w:rPr>
                <w:sz w:val="24"/>
              </w:rPr>
              <w:t>广州市南沙区</w:t>
            </w:r>
            <w:r>
              <w:rPr>
                <w:sz w:val="24"/>
              </w:rPr>
              <w:t>综合养老服务中心运营</w:t>
            </w:r>
            <w:r>
              <w:rPr>
                <w:sz w:val="24"/>
              </w:rPr>
              <w:t>项目</w:t>
            </w:r>
          </w:p>
        </w:tc>
        <w:tc>
          <w:tcPr>
            <w:tcW w:type="dxa" w:w="1629"/>
            <w:tcBorders>
              <w:top w:val="none" w:color="000000" w:sz="4"/>
              <w:left w:val="single" w:color="000000" w:sz="4"/>
              <w:bottom w:val="single" w:color="000000" w:sz="4"/>
              <w:right w:val="single" w:color="000000" w:sz="4"/>
            </w:tcBorders>
            <w:shd w:fill="FFFFFF"/>
            <w:vAlign w:val="top"/>
          </w:tcPr>
          <w:p>
            <w:pPr>
              <w:jc w:val="center"/>
            </w:pPr>
            <w:r>
              <w:rPr>
                <w:sz w:val="24"/>
              </w:rPr>
              <w:t>200</w:t>
            </w:r>
          </w:p>
        </w:tc>
        <w:tc>
          <w:tcPr>
            <w:tcW w:type="dxa" w:w="1629"/>
            <w:tcBorders>
              <w:top w:val="none" w:color="000000" w:sz="4"/>
              <w:left w:val="single" w:color="000000" w:sz="4"/>
              <w:bottom w:val="single" w:color="000000" w:sz="4"/>
              <w:right w:val="single" w:color="000000" w:sz="4"/>
            </w:tcBorders>
            <w:shd w:fill="FFFFFF"/>
            <w:vAlign w:val="top"/>
          </w:tcPr>
          <w:p>
            <w:pPr>
              <w:jc w:val="center"/>
            </w:pPr>
            <w:r>
              <w:rPr>
                <w:sz w:val="24"/>
              </w:rPr>
              <w:t>120</w:t>
            </w:r>
          </w:p>
        </w:tc>
        <w:tc>
          <w:tcPr>
            <w:tcW w:type="dxa" w:w="1629"/>
            <w:tcBorders>
              <w:top w:val="none" w:color="000000" w:sz="4"/>
              <w:left w:val="single" w:color="000000" w:sz="4"/>
              <w:bottom w:val="single" w:color="000000" w:sz="4"/>
              <w:right w:val="single" w:color="000000" w:sz="4"/>
            </w:tcBorders>
            <w:shd w:fill="FFFFFF"/>
            <w:vAlign w:val="top"/>
          </w:tcPr>
          <w:p>
            <w:pPr>
              <w:jc w:val="center"/>
            </w:pPr>
            <w:r>
              <w:rPr>
                <w:sz w:val="24"/>
              </w:rPr>
              <w:t>80</w:t>
            </w:r>
          </w:p>
        </w:tc>
        <w:tc>
          <w:tcPr>
            <w:tcW w:type="dxa" w:w="1043"/>
            <w:tcBorders>
              <w:top w:val="none" w:color="000000" w:sz="4"/>
              <w:left w:val="single" w:color="000000" w:sz="4"/>
              <w:bottom w:val="single" w:color="000000" w:sz="4"/>
              <w:right w:val="single" w:color="000000" w:sz="4"/>
            </w:tcBorders>
            <w:shd w:fill="FFFFFF"/>
            <w:vAlign w:val="top"/>
          </w:tcPr>
          <w:p>
            <w:pPr>
              <w:jc w:val="center"/>
            </w:pPr>
          </w:p>
        </w:tc>
      </w:tr>
    </w:tbl>
    <w:p>
      <w:pPr>
        <w:ind w:firstLine="480"/>
        <w:jc w:val="both"/>
      </w:pPr>
      <w:r>
        <w:rPr>
          <w:sz w:val="24"/>
        </w:rPr>
        <w:t>备注：根据《广州市居家社区养老服务管理办法》，居家社区养老服务组织运营区级社区养老服务设施满</w:t>
      </w:r>
      <w:r>
        <w:rPr>
          <w:sz w:val="24"/>
        </w:rPr>
        <w:t>12个月且经服务评估评定为合格及以上等级的，应当享受相应等级的服务奖励。区级社区养老服务设施服务评估为优秀、良好、合格等级的，每年每个分别给予40万元、30万元、20万元服务奖励；其中，按规定直接面向周边社区居民提供生活照料、康复护理等服务的区级社区养老服务设施根据评估等级分别增加40万元、30万元、20万元服务奖励。</w:t>
      </w:r>
    </w:p>
    <w:p/>
    <w:p>
      <w:pPr>
        <w:ind w:firstLine="480"/>
      </w:pPr>
    </w:p>
    <w:p/>
    <w:p>
      <w:r>
        <w:rPr/>
        <w:t>采购包1（广州市南沙区综合养老服务中心运营项目）：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一年，2022年9月1日-2023年8月31日（具体时间以合同签订为准）</w:t>
            </w:r>
          </w:p>
        </w:tc>
      </w:tr>
      <w:tr>
        <w:tc>
          <w:tcPr>
            <w:tcW w:type="dxa" w:w="4153"/>
          </w:tcPr>
          <w:p>
            <w:r>
              <w:rPr/>
              <w:t>标的提供的地点</w:t>
            </w:r>
          </w:p>
        </w:tc>
        <w:tc>
          <w:tcPr>
            <w:tcW w:type="dxa" w:w="4153"/>
          </w:tcPr>
          <w:p>
            <w:pPr>
              <w:jc w:val="left"/>
            </w:pPr>
          </w:p>
          <w:p>
            <w:r>
              <w:rPr/>
              <w:t>广州市南沙区</w:t>
            </w:r>
          </w:p>
        </w:tc>
      </w:tr>
      <w:tr>
        <w:tc>
          <w:tcPr>
            <w:tcW w:type="dxa" w:w="4153"/>
          </w:tcPr>
          <w:p>
            <w:r>
              <w:rPr/>
              <w:t>响应有效期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1期：支付比例48%，支付比例项目运营经费的80%，第一期经费拨付时间：合同生效之日起，南沙区民政局收到中标供应商提供等额有效合法的发票后15个工作日内向乙方支付第一期费用</w:t>
            </w:r>
          </w:p>
          <w:p/>
          <w:p>
            <w:r>
              <w:rPr/>
              <w:t>2期：支付比例12%，支付比例项目运营经费的20%，第二期费用拨付时间：合同生效之日起五个月后，由市或区民政部门以及养老服务指导单位委托第三方评估机构进行中期服务评估，评估结果为合格以上（含合格），南沙区民政局收到中标供应商提供等额有效合法的发票后15个工作日内向中标供应商支付第二期费用；评估结果为不合格的，第二期合同经费将不予支付。</w:t>
            </w:r>
          </w:p>
          <w:p/>
          <w:p>
            <w:r>
              <w:rPr/>
              <w:t>3期：支付比例40%，支付项目服务奖励，第三期费用拨付时间：由市民政部门以及养老服务指导单位组织实施服务评估并出具评估结果。评估结果为优秀的，南沙区民政局收到中标供应商提供等额有效合法的发票后15个工作日内向中标供应商支付服务奖励人民币捌拾万元整（¥800,000.00元）；评估结果为良好的，南沙区民政局收到中标供应商提供等额有效合法的发票后15个工作日内向中标供应商支付服务奖励人民币陆拾万元整（¥600,000.00元）；评估结果为合格的，南沙区民政局收到中标供应商提供等额有效合法的发票后15个工作日内向中标供应商支付服务奖励人民币肆拾万元整（¥400,000.00元）；评估结果为不合格或中标供应商不配合做好服务交接工作的，第三期合同经费将不予支付。因服务质量不合格造成的损失由中标供应商自行承担。</w:t>
            </w:r>
          </w:p>
        </w:tc>
      </w:tr>
      <w:tr>
        <w:tc>
          <w:tcPr>
            <w:tcW w:type="dxa" w:w="4153"/>
          </w:tcPr>
          <w:p>
            <w:r>
              <w:rPr/>
              <w:t>验收要求</w:t>
            </w:r>
          </w:p>
        </w:tc>
        <w:tc>
          <w:tcPr>
            <w:tcW w:type="dxa" w:w="4153"/>
          </w:tcPr>
          <w:p>
            <w:pPr>
              <w:jc w:val="left"/>
            </w:pPr>
          </w:p>
          <w:p/>
          <w:p/>
          <w:p>
            <w:r>
              <w:rPr/>
              <w:t>1期：中标供应商运营期满后需向广州市南沙区民政局提交自评材料，其中非居家社区养老服务项目的内容，由广州市南沙区民政局通过现场观察、资料查阅、服务回访等方式进行项目验收；居家社区养老服务项目内容，由民政部门组织开展评估。</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其他社会服务</w:t>
            </w:r>
          </w:p>
        </w:tc>
        <w:tc>
          <w:tcPr>
            <w:tcW w:type="dxa" w:w="1923"/>
          </w:tcPr>
          <w:p>
            <w:r>
              <w:rPr/>
              <w:t>运营管理南沙区综合养老服务中心项目，开展区域统筹、服务示范、人员实训、技术支持等服务，并面向周边社区居民提供养生活照料、康复护理等居家社区养老服务。</w:t>
            </w:r>
          </w:p>
        </w:tc>
        <w:tc>
          <w:tcPr>
            <w:tcW w:type="dxa" w:w="385"/>
          </w:tcPr>
          <w:p>
            <w:r>
              <w:rPr/>
              <w:t>项</w:t>
            </w:r>
          </w:p>
        </w:tc>
        <w:tc>
          <w:tcPr>
            <w:tcW w:type="dxa" w:w="769"/>
          </w:tcPr>
          <w:p>
            <w:pPr>
              <w:jc w:val="right"/>
            </w:pPr>
            <w:r>
              <w:rPr/>
              <w:t>1.00</w:t>
            </w:r>
          </w:p>
        </w:tc>
        <w:tc>
          <w:tcPr>
            <w:tcW w:type="dxa" w:w="769"/>
          </w:tcPr>
          <w:p>
            <w:pPr>
              <w:jc w:val="right"/>
            </w:pPr>
            <w:r>
              <w:rPr/>
              <w:t>2,000,000.00</w:t>
            </w:r>
          </w:p>
        </w:tc>
        <w:tc>
          <w:tcPr>
            <w:tcW w:type="dxa" w:w="769"/>
          </w:tcPr>
          <w:p>
            <w:pPr>
              <w:jc w:val="right"/>
            </w:pPr>
            <w:r>
              <w:rPr/>
              <w:t>2,000,000.00</w:t>
            </w:r>
          </w:p>
        </w:tc>
        <w:tc>
          <w:tcPr>
            <w:tcW w:type="dxa" w:w="769"/>
          </w:tcPr>
          <w:p>
            <w:r>
              <w:rPr/>
              <w:t>其他未列明行业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运营管理南沙区综合养老服务中心项目，开展区域统筹、服务示范、人员实训、技术支持等服务，并面向周边社区居民提供养生活照料、康复护理等居家社区养老服务。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ind w:firstLine="643"/>
              <w:jc w:val="left"/>
            </w:pPr>
            <w:r>
              <w:rPr>
                <w:b/>
                <w:sz w:val="24"/>
              </w:rPr>
              <w:t>★</w:t>
            </w:r>
            <w:r>
              <w:rPr>
                <w:sz w:val="24"/>
              </w:rPr>
              <w:t>1.</w:t>
            </w:r>
            <w:r>
              <w:rPr>
                <w:sz w:val="24"/>
              </w:rPr>
              <w:t>根据《广州市政府购买社区居家养老服务项目指引》等精神，</w:t>
            </w:r>
            <w:r>
              <w:rPr>
                <w:sz w:val="24"/>
              </w:rPr>
              <w:t>服务机构应为本项目配备至少</w:t>
            </w:r>
            <w:r>
              <w:rPr>
                <w:sz w:val="24"/>
              </w:rPr>
              <w:t>16</w:t>
            </w:r>
            <w:r>
              <w:rPr>
                <w:sz w:val="24"/>
              </w:rPr>
              <w:t>名工作人员</w:t>
            </w:r>
            <w:r>
              <w:rPr>
                <w:sz w:val="24"/>
              </w:rPr>
              <w:t>（均需具有本科及以上学历），其中全职工作人员不少于</w:t>
            </w:r>
            <w:r>
              <w:rPr>
                <w:sz w:val="24"/>
              </w:rPr>
              <w:t>14名</w:t>
            </w:r>
            <w:r>
              <w:rPr>
                <w:sz w:val="24"/>
              </w:rPr>
              <w:t>，</w:t>
            </w:r>
            <w:r>
              <w:rPr>
                <w:sz w:val="24"/>
              </w:rPr>
              <w:t>若干兼职工作人员</w:t>
            </w:r>
            <w:r>
              <w:rPr>
                <w:sz w:val="24"/>
              </w:rPr>
              <w:t>，包括执业医师</w:t>
            </w:r>
            <w:r>
              <w:rPr>
                <w:sz w:val="24"/>
              </w:rPr>
              <w:t>2</w:t>
            </w:r>
            <w:r>
              <w:rPr>
                <w:sz w:val="24"/>
              </w:rPr>
              <w:t>名</w:t>
            </w:r>
            <w:r>
              <w:rPr>
                <w:sz w:val="24"/>
              </w:rPr>
              <w:t>（</w:t>
            </w:r>
            <w:r>
              <w:rPr>
                <w:sz w:val="24"/>
              </w:rPr>
              <w:t>可兼职</w:t>
            </w:r>
            <w:r>
              <w:rPr>
                <w:sz w:val="24"/>
              </w:rPr>
              <w:t>）</w:t>
            </w:r>
            <w:r>
              <w:rPr>
                <w:sz w:val="24"/>
              </w:rPr>
              <w:t>，执业护士</w:t>
            </w:r>
            <w:r>
              <w:rPr>
                <w:sz w:val="24"/>
              </w:rPr>
              <w:t>2</w:t>
            </w:r>
            <w:r>
              <w:rPr>
                <w:sz w:val="24"/>
              </w:rPr>
              <w:t>名，康复治疗师</w:t>
            </w:r>
            <w:r>
              <w:rPr>
                <w:sz w:val="24"/>
              </w:rPr>
              <w:t>2</w:t>
            </w:r>
            <w:r>
              <w:rPr>
                <w:sz w:val="24"/>
              </w:rPr>
              <w:t>名，社会工作师（含助理级）</w:t>
            </w:r>
            <w:r>
              <w:rPr>
                <w:sz w:val="24"/>
              </w:rPr>
              <w:t>4</w:t>
            </w:r>
            <w:r>
              <w:rPr>
                <w:sz w:val="24"/>
              </w:rPr>
              <w:t>名，养老护理员</w:t>
            </w:r>
            <w:r>
              <w:rPr>
                <w:sz w:val="24"/>
              </w:rPr>
              <w:t>1</w:t>
            </w:r>
            <w:r>
              <w:rPr>
                <w:sz w:val="24"/>
              </w:rPr>
              <w:t>名</w:t>
            </w:r>
            <w:r>
              <w:rPr>
                <w:sz w:val="24"/>
              </w:rPr>
              <w:t>，其他全职人员</w:t>
            </w:r>
            <w:r>
              <w:rPr>
                <w:sz w:val="24"/>
              </w:rPr>
              <w:t>5名</w:t>
            </w:r>
            <w:r>
              <w:rPr>
                <w:sz w:val="24"/>
              </w:rPr>
              <w:t>。其中，</w:t>
            </w:r>
            <w:r>
              <w:rPr>
                <w:sz w:val="24"/>
              </w:rPr>
              <w:t>指定一名为全职</w:t>
            </w:r>
            <w:r>
              <w:rPr>
                <w:sz w:val="24"/>
              </w:rPr>
              <w:t>项目负责人</w:t>
            </w:r>
            <w:r>
              <w:rPr>
                <w:sz w:val="24"/>
              </w:rPr>
              <w:t>，</w:t>
            </w:r>
            <w:r>
              <w:rPr>
                <w:sz w:val="24"/>
              </w:rPr>
              <w:t>须</w:t>
            </w:r>
            <w:r>
              <w:rPr>
                <w:sz w:val="24"/>
              </w:rPr>
              <w:t>具有高校本科</w:t>
            </w:r>
            <w:r>
              <w:rPr>
                <w:sz w:val="24"/>
              </w:rPr>
              <w:t>及</w:t>
            </w:r>
            <w:r>
              <w:rPr>
                <w:sz w:val="24"/>
              </w:rPr>
              <w:t>以上学历，持社工或相关专业资格中级以上证书，具有</w:t>
            </w:r>
            <w:r>
              <w:rPr>
                <w:sz w:val="24"/>
              </w:rPr>
              <w:t>5年以上养老服务管理工作经验</w:t>
            </w:r>
            <w:r>
              <w:rPr>
                <w:sz w:val="24"/>
              </w:rPr>
              <w:t>。</w:t>
            </w:r>
          </w:p>
          <w:p>
            <w:pPr>
              <w:ind w:firstLine="643"/>
              <w:jc w:val="left"/>
            </w:pPr>
            <w:r>
              <w:rPr>
                <w:sz w:val="24"/>
              </w:rPr>
              <w:t>服务机构应根据本项目工作内容，组建运营管理组和养老服务组。</w:t>
            </w:r>
            <w:r>
              <w:rPr>
                <w:b/>
                <w:sz w:val="24"/>
              </w:rPr>
              <w:t>运营管理组</w:t>
            </w:r>
            <w:r>
              <w:rPr>
                <w:sz w:val="24"/>
              </w:rPr>
              <w:t>需包含</w:t>
            </w:r>
            <w:r>
              <w:rPr>
                <w:sz w:val="24"/>
              </w:rPr>
              <w:t>社会工作师（含助理级）</w:t>
            </w:r>
            <w:r>
              <w:rPr>
                <w:sz w:val="24"/>
              </w:rPr>
              <w:t>2名，执业护士1名，其他全职人员3名；其中，指定一名为项目主管，须具有高校本科</w:t>
            </w:r>
            <w:r>
              <w:rPr>
                <w:sz w:val="24"/>
              </w:rPr>
              <w:t>及</w:t>
            </w:r>
            <w:r>
              <w:rPr>
                <w:sz w:val="24"/>
              </w:rPr>
              <w:t>以上学历，持社工或相关专业资格证书，具有</w:t>
            </w:r>
            <w:r>
              <w:rPr>
                <w:sz w:val="24"/>
              </w:rPr>
              <w:t>2年以上养老服务管理工作经验。</w:t>
            </w:r>
            <w:r>
              <w:rPr>
                <w:b/>
                <w:sz w:val="24"/>
              </w:rPr>
              <w:t>养老服务组</w:t>
            </w:r>
            <w:r>
              <w:rPr>
                <w:sz w:val="24"/>
              </w:rPr>
              <w:t>需包含执业医师（可兼职）</w:t>
            </w:r>
            <w:r>
              <w:rPr>
                <w:sz w:val="24"/>
              </w:rPr>
              <w:t>2名，执业护士1名，康复治疗师2名，养老护理员1名，社会工作师（含助理级）1名，其他全职人员2名；其中，指定一名为项目主管，须具有高校本科</w:t>
            </w:r>
            <w:r>
              <w:rPr>
                <w:sz w:val="24"/>
              </w:rPr>
              <w:t>及</w:t>
            </w:r>
            <w:r>
              <w:rPr>
                <w:sz w:val="24"/>
              </w:rPr>
              <w:t>以上学历，持社工或相关专业资格证书，具有</w:t>
            </w:r>
            <w:r>
              <w:rPr>
                <w:sz w:val="24"/>
              </w:rPr>
              <w:t>2年以上养老服务管理工作经验。</w:t>
            </w:r>
            <w:r>
              <w:rPr>
                <w:sz w:val="24"/>
              </w:rPr>
              <w:t>执业医生和执业护士须持有医护相关专业技术证书。社会工作师（含助理级）须持有初级</w:t>
            </w:r>
            <w:r>
              <w:rPr>
                <w:sz w:val="24"/>
              </w:rPr>
              <w:t>以上</w:t>
            </w:r>
            <w:r>
              <w:rPr>
                <w:sz w:val="24"/>
              </w:rPr>
              <w:t>社工证书。养老护理员须持有养老护理相关专业技术证书。</w:t>
            </w:r>
            <w:r>
              <w:rPr>
                <w:sz w:val="24"/>
              </w:rPr>
              <w:t>所有人员均须熟悉和掌握关于市、区关于居家社区养老服务的各项政策规定，并能为镇街开展居家社区养老各项服务提供专业指导与咨询答疑。</w:t>
            </w:r>
          </w:p>
          <w:p>
            <w:pPr>
              <w:ind w:firstLine="643"/>
              <w:jc w:val="left"/>
            </w:pPr>
            <w:r>
              <w:rPr>
                <w:sz w:val="24"/>
              </w:rPr>
              <w:t>承接机构承诺在服务期内必须保证投入的工作人员数量不能减少，服务期中如有人事变动问题，须提前征得广州市南沙区民政局同意并向广州市南沙区民政局报备，保证能及时配齐报价</w:t>
            </w:r>
            <w:r>
              <w:rPr>
                <w:sz w:val="24"/>
              </w:rPr>
              <w:t>时承诺投入的人员。项目负责人和项目主管人选须经广州市南沙区民政局审核通过后方能上岗。若在项目开展中，需更换项目负责人的，应提前</w:t>
            </w:r>
            <w:r>
              <w:rPr>
                <w:sz w:val="24"/>
              </w:rPr>
              <w:t>1个月书面告知广州市南沙区民政局并征得广州市南沙区民政局同意，项目团队人员更换须向广州市南沙区民政局报备同意后方可录用。承接机构若未按要求为本项目配齐具有资质的工作人员，按照空缺的人员数量和月数扣除相应费用（根据《广州市政府购买社区居家养老服务项目指引》中相关工作人员经费标准规定进行扣除）。承接机构及其工作人员开展业务或提供专业服务咨询答疑，均须遵守有关法律法规和专业技术规范的要求，确保合法性及专业性，杜绝安全风险及隐患，保障服务对象的相关合法权益</w:t>
            </w:r>
            <w:r>
              <w:rPr>
                <w:sz w:val="24"/>
              </w:rPr>
              <w:t>。</w:t>
            </w:r>
            <w:r>
              <w:rPr>
                <w:b/>
                <w:sz w:val="24"/>
              </w:rPr>
              <w:t>（需在投标文件中提供承诺函）</w:t>
            </w:r>
          </w:p>
          <w:p>
            <w:pPr>
              <w:ind w:firstLine="640"/>
              <w:jc w:val="both"/>
            </w:pPr>
            <w:r>
              <w:rPr>
                <w:sz w:val="24"/>
              </w:rPr>
              <w:t>（</w:t>
            </w:r>
            <w:r>
              <w:rPr>
                <w:sz w:val="24"/>
              </w:rPr>
              <w:t>1）提供上门生活照料服务的，保障上门服务人员与服务对象的比例不低于1：10；</w:t>
            </w:r>
          </w:p>
          <w:p>
            <w:pPr>
              <w:ind w:firstLine="640"/>
              <w:jc w:val="both"/>
            </w:pPr>
            <w:r>
              <w:rPr>
                <w:sz w:val="24"/>
              </w:rPr>
              <w:t>（</w:t>
            </w:r>
            <w:r>
              <w:rPr>
                <w:sz w:val="24"/>
              </w:rPr>
              <w:t>2）提供康复护理服务的，护理人员与服务对象的配备比例不低于1：10，护理人员应具有护理、康复治疗专业技术教育背景或从业资格；</w:t>
            </w:r>
          </w:p>
          <w:p>
            <w:pPr>
              <w:ind w:firstLine="640"/>
              <w:jc w:val="both"/>
            </w:pPr>
            <w:r>
              <w:rPr>
                <w:sz w:val="24"/>
              </w:rPr>
              <w:t>（</w:t>
            </w:r>
            <w:r>
              <w:rPr>
                <w:sz w:val="24"/>
              </w:rPr>
              <w:t>3）</w:t>
            </w:r>
            <w:r>
              <w:rPr>
                <w:sz w:val="24"/>
              </w:rPr>
              <w:t>提供医疗保健类服务的，应配备执业医生、执业护士、康复治疗师、技师等专业人员；</w:t>
            </w:r>
          </w:p>
          <w:p>
            <w:pPr>
              <w:jc w:val="both"/>
            </w:pPr>
            <w:r>
              <w:rPr>
                <w:sz w:val="24"/>
              </w:rPr>
              <w:t>（</w:t>
            </w:r>
            <w:r>
              <w:rPr>
                <w:sz w:val="24"/>
              </w:rPr>
              <w:t>4）承接</w:t>
            </w:r>
            <w:r>
              <w:rPr>
                <w:sz w:val="24"/>
              </w:rPr>
              <w:t>机构应保障服务人员上岗前接受不少于</w:t>
            </w:r>
            <w:r>
              <w:rPr>
                <w:sz w:val="24"/>
              </w:rPr>
              <w:t>10学时的岗前培训。</w:t>
            </w:r>
          </w:p>
        </w:tc>
      </w:tr>
      <w:tr>
        <w:tc>
          <w:tcPr>
            <w:tcW w:type="dxa" w:w="2076"/>
          </w:tcPr>
          <w:p/>
        </w:tc>
        <w:tc>
          <w:tcPr>
            <w:tcW w:type="dxa" w:w="415"/>
          </w:tcPr>
          <w:p>
            <w:r>
              <w:rPr/>
              <w:t>2</w:t>
            </w:r>
          </w:p>
        </w:tc>
        <w:tc>
          <w:tcPr>
            <w:tcW w:type="dxa" w:w="5814"/>
          </w:tcPr>
          <w:p>
            <w:pPr>
              <w:ind w:firstLine="480"/>
              <w:jc w:val="both"/>
            </w:pPr>
            <w:r>
              <w:rPr>
                <w:sz w:val="24"/>
              </w:rPr>
              <w:t>一、项目概况</w:t>
            </w:r>
          </w:p>
          <w:p>
            <w:pPr>
              <w:ind w:firstLine="482"/>
              <w:jc w:val="both"/>
            </w:pPr>
            <w:r>
              <w:rPr>
                <w:b/>
                <w:sz w:val="24"/>
              </w:rPr>
              <w:t>（一）项目名称</w:t>
            </w:r>
          </w:p>
          <w:p>
            <w:pPr>
              <w:ind w:firstLine="480"/>
              <w:jc w:val="both"/>
            </w:pPr>
            <w:r>
              <w:rPr>
                <w:sz w:val="24"/>
              </w:rPr>
              <w:t>广州市南沙区</w:t>
            </w:r>
            <w:r>
              <w:rPr>
                <w:sz w:val="24"/>
              </w:rPr>
              <w:t>综合养老服务中心</w:t>
            </w:r>
            <w:r>
              <w:rPr>
                <w:sz w:val="24"/>
              </w:rPr>
              <w:t>运营项目</w:t>
            </w:r>
          </w:p>
          <w:p>
            <w:pPr>
              <w:ind w:firstLine="482"/>
              <w:jc w:val="both"/>
            </w:pPr>
            <w:r>
              <w:rPr>
                <w:b/>
                <w:sz w:val="24"/>
              </w:rPr>
              <w:t>（二）</w:t>
            </w:r>
            <w:r>
              <w:rPr>
                <w:b/>
                <w:sz w:val="24"/>
              </w:rPr>
              <w:t>项目时间</w:t>
            </w:r>
          </w:p>
          <w:p>
            <w:pPr>
              <w:ind w:firstLine="480"/>
              <w:jc w:val="both"/>
            </w:pPr>
            <w:r>
              <w:rPr>
                <w:sz w:val="24"/>
              </w:rPr>
              <w:t>一年。</w:t>
            </w:r>
            <w:r>
              <w:rPr>
                <w:sz w:val="24"/>
              </w:rPr>
              <w:t>202</w:t>
            </w:r>
            <w:r>
              <w:rPr>
                <w:sz w:val="24"/>
              </w:rPr>
              <w:t>2</w:t>
            </w:r>
            <w:r>
              <w:rPr>
                <w:sz w:val="24"/>
              </w:rPr>
              <w:t>年</w:t>
            </w:r>
            <w:r>
              <w:rPr>
                <w:sz w:val="24"/>
              </w:rPr>
              <w:t>9</w:t>
            </w:r>
            <w:r>
              <w:rPr>
                <w:sz w:val="24"/>
              </w:rPr>
              <w:t>月</w:t>
            </w:r>
            <w:r>
              <w:rPr>
                <w:sz w:val="24"/>
              </w:rPr>
              <w:t>1日-202</w:t>
            </w:r>
            <w:r>
              <w:rPr>
                <w:sz w:val="24"/>
              </w:rPr>
              <w:t>3</w:t>
            </w:r>
            <w:r>
              <w:rPr>
                <w:sz w:val="24"/>
              </w:rPr>
              <w:t>年</w:t>
            </w:r>
            <w:r>
              <w:rPr>
                <w:sz w:val="24"/>
              </w:rPr>
              <w:t>8</w:t>
            </w:r>
            <w:r>
              <w:rPr>
                <w:sz w:val="24"/>
              </w:rPr>
              <w:t>月</w:t>
            </w:r>
            <w:r>
              <w:rPr>
                <w:sz w:val="24"/>
              </w:rPr>
              <w:t>31日</w:t>
            </w:r>
            <w:r>
              <w:rPr>
                <w:sz w:val="24"/>
              </w:rPr>
              <w:t>（</w:t>
            </w:r>
            <w:r>
              <w:rPr>
                <w:sz w:val="24"/>
              </w:rPr>
              <w:t>具体时间以合同签订为准</w:t>
            </w:r>
            <w:r>
              <w:rPr>
                <w:sz w:val="24"/>
              </w:rPr>
              <w:t>）</w:t>
            </w:r>
          </w:p>
          <w:p>
            <w:pPr>
              <w:ind w:firstLine="482"/>
              <w:jc w:val="both"/>
            </w:pPr>
            <w:r>
              <w:rPr>
                <w:b/>
                <w:sz w:val="24"/>
              </w:rPr>
              <w:t>（</w:t>
            </w:r>
            <w:r>
              <w:rPr>
                <w:b/>
                <w:sz w:val="24"/>
              </w:rPr>
              <w:t>三）项目报价</w:t>
            </w:r>
          </w:p>
          <w:p>
            <w:pPr>
              <w:ind w:firstLine="480"/>
              <w:jc w:val="both"/>
            </w:pPr>
            <w:r>
              <w:rPr>
                <w:sz w:val="24"/>
              </w:rPr>
              <w:t>项目费用由项目运营经费、项目服务奖励以及服务对象资助经费组成。</w:t>
            </w:r>
          </w:p>
          <w:p>
            <w:pPr>
              <w:ind w:firstLine="480"/>
              <w:jc w:val="both"/>
            </w:pPr>
            <w:r>
              <w:rPr>
                <w:sz w:val="24"/>
              </w:rPr>
              <w:t>本项目最高投标限价为人民币</w:t>
            </w:r>
            <w:r>
              <w:rPr>
                <w:sz w:val="24"/>
              </w:rPr>
              <w:t>200</w:t>
            </w:r>
            <w:r>
              <w:rPr>
                <w:sz w:val="24"/>
              </w:rPr>
              <w:t>0000.00元</w:t>
            </w:r>
            <w:r>
              <w:rPr>
                <w:sz w:val="24"/>
              </w:rPr>
              <w:t>（报价含人民币</w:t>
            </w:r>
            <w:r>
              <w:rPr>
                <w:sz w:val="24"/>
              </w:rPr>
              <w:t>80万元的</w:t>
            </w:r>
            <w:r>
              <w:rPr>
                <w:sz w:val="24"/>
              </w:rPr>
              <w:t>项目服务奖励</w:t>
            </w:r>
            <w:r>
              <w:rPr>
                <w:sz w:val="24"/>
              </w:rPr>
              <w:t>费用</w:t>
            </w:r>
            <w:r>
              <w:rPr>
                <w:sz w:val="24"/>
              </w:rPr>
              <w:t>）</w:t>
            </w:r>
            <w:r>
              <w:rPr>
                <w:sz w:val="24"/>
              </w:rPr>
              <w:t>。其中，运营经费</w:t>
            </w:r>
            <w:r>
              <w:rPr>
                <w:sz w:val="24"/>
              </w:rPr>
              <w:t>控制价为人民币</w:t>
            </w:r>
            <w:r>
              <w:rPr>
                <w:sz w:val="24"/>
              </w:rPr>
              <w:t>120</w:t>
            </w:r>
            <w:r>
              <w:rPr>
                <w:sz w:val="24"/>
              </w:rPr>
              <w:t>0000.00元</w:t>
            </w:r>
            <w:r>
              <w:rPr>
                <w:sz w:val="24"/>
              </w:rPr>
              <w:t>；项目服务奖励</w:t>
            </w:r>
            <w:r>
              <w:rPr>
                <w:sz w:val="24"/>
              </w:rPr>
              <w:t>费用</w:t>
            </w:r>
            <w:r>
              <w:rPr>
                <w:sz w:val="24"/>
              </w:rPr>
              <w:t>控制价为人民币</w:t>
            </w:r>
            <w:r>
              <w:rPr>
                <w:sz w:val="24"/>
              </w:rPr>
              <w:t>80</w:t>
            </w:r>
            <w:r>
              <w:rPr>
                <w:sz w:val="24"/>
              </w:rPr>
              <w:t>0000.00元</w:t>
            </w:r>
            <w:r>
              <w:rPr>
                <w:sz w:val="24"/>
              </w:rPr>
              <w:t>（非竞争性费用报价，根据评估结果等级支付）</w:t>
            </w:r>
            <w:r>
              <w:rPr>
                <w:sz w:val="24"/>
              </w:rPr>
              <w:t>。</w:t>
            </w:r>
            <w:r>
              <w:rPr>
                <w:sz w:val="24"/>
              </w:rPr>
              <w:t>运营经费的</w:t>
            </w:r>
            <w:r>
              <w:rPr>
                <w:sz w:val="24"/>
              </w:rPr>
              <w:t>报价高于上述控制价的视为报价无效，为防止恶意竞争，</w:t>
            </w:r>
            <w:r>
              <w:rPr>
                <w:sz w:val="24"/>
              </w:rPr>
              <w:t>运营经费的</w:t>
            </w:r>
            <w:r>
              <w:rPr>
                <w:sz w:val="24"/>
              </w:rPr>
              <w:t>报价</w:t>
            </w:r>
            <w:r>
              <w:rPr>
                <w:sz w:val="24"/>
              </w:rPr>
              <w:t>经评标委员会评审认为过低的，需提供相关证明材料证明其报价合理性</w:t>
            </w:r>
            <w:r>
              <w:rPr>
                <w:sz w:val="24"/>
              </w:rPr>
              <w:t>。</w:t>
            </w:r>
            <w:r>
              <w:rPr>
                <w:sz w:val="24"/>
              </w:rPr>
              <w:t>项目服务奖励以及服务对象资助经费根据评估结果和实际服务人次</w:t>
            </w:r>
            <w:r>
              <w:rPr>
                <w:sz w:val="24"/>
              </w:rPr>
              <w:t>按相关文件规定</w:t>
            </w:r>
            <w:r>
              <w:rPr>
                <w:sz w:val="24"/>
              </w:rPr>
              <w:t>据实结算。</w:t>
            </w:r>
          </w:p>
          <w:p>
            <w:pPr>
              <w:jc w:val="center"/>
            </w:pPr>
            <w:r>
              <w:rPr>
                <w:sz w:val="24"/>
              </w:rPr>
              <w:t>表</w:t>
            </w:r>
            <w:r>
              <w:rPr>
                <w:sz w:val="24"/>
              </w:rPr>
              <w:t>1</w:t>
            </w:r>
            <w:r>
              <w:rPr>
                <w:sz w:val="24"/>
              </w:rPr>
              <w:t>综合养老服务中心</w:t>
            </w:r>
            <w:r>
              <w:rPr>
                <w:sz w:val="24"/>
              </w:rPr>
              <w:t>运营项目</w:t>
            </w:r>
            <w:r>
              <w:rPr>
                <w:sz w:val="24"/>
              </w:rPr>
              <w:t>经费一览表</w:t>
            </w:r>
          </w:p>
          <w:tbl>
            <w:tblPr>
              <w:tblBorders>
                <w:top w:val="none" w:color="000000" w:sz="4"/>
                <w:left w:val="none" w:color="000000" w:sz="4"/>
                <w:bottom w:val="none" w:color="000000" w:sz="4"/>
                <w:right w:val="none" w:color="000000" w:sz="4"/>
                <w:insideH w:val="none"/>
                <w:insideV w:val="none"/>
              </w:tblBorders>
            </w:tblPr>
            <w:tblGrid>
              <w:gridCol w:w="1445"/>
              <w:gridCol w:w="1098"/>
              <w:gridCol w:w="1098"/>
              <w:gridCol w:w="1098"/>
              <w:gridCol w:w="703"/>
            </w:tblGrid>
            <w:tr>
              <w:tc>
                <w:tcPr>
                  <w:tcW w:type="dxa" w:w="1445"/>
                  <w:tcBorders>
                    <w:top w:val="single" w:color="000000" w:sz="4"/>
                    <w:left w:val="single" w:color="000000" w:sz="4"/>
                    <w:bottom w:val="single" w:color="000000" w:sz="4"/>
                    <w:right w:val="single" w:color="000000" w:sz="4"/>
                  </w:tcBorders>
                  <w:shd w:fill="FFFFFF"/>
                  <w:vAlign w:val="top"/>
                </w:tcPr>
                <w:p>
                  <w:pPr>
                    <w:jc w:val="center"/>
                  </w:pPr>
                  <w:r>
                    <w:rPr>
                      <w:sz w:val="24"/>
                    </w:rPr>
                    <w:t>项目</w:t>
                  </w:r>
                </w:p>
              </w:tc>
              <w:tc>
                <w:tcPr>
                  <w:tcW w:type="dxa" w:w="1098"/>
                  <w:tcBorders>
                    <w:top w:val="single" w:color="000000" w:sz="4"/>
                    <w:left w:val="single" w:color="000000" w:sz="4"/>
                    <w:bottom w:val="single" w:color="000000" w:sz="4"/>
                    <w:right w:val="single" w:color="000000" w:sz="4"/>
                  </w:tcBorders>
                  <w:shd w:fill="FFFFFF"/>
                  <w:vAlign w:val="top"/>
                </w:tcPr>
                <w:p>
                  <w:pPr>
                    <w:jc w:val="center"/>
                  </w:pPr>
                  <w:r>
                    <w:rPr>
                      <w:sz w:val="21"/>
                    </w:rPr>
                    <w:t>釆购预算合计</w:t>
                  </w:r>
                </w:p>
                <w:p>
                  <w:pPr>
                    <w:jc w:val="center"/>
                  </w:pPr>
                  <w:r>
                    <w:rPr>
                      <w:sz w:val="21"/>
                    </w:rPr>
                    <w:t>（万元）</w:t>
                  </w:r>
                </w:p>
              </w:tc>
              <w:tc>
                <w:tcPr>
                  <w:tcW w:type="dxa" w:w="1098"/>
                  <w:tcBorders>
                    <w:top w:val="single" w:color="000000" w:sz="4"/>
                    <w:left w:val="single" w:color="000000" w:sz="4"/>
                    <w:bottom w:val="single" w:color="000000" w:sz="4"/>
                    <w:right w:val="single" w:color="000000" w:sz="4"/>
                  </w:tcBorders>
                  <w:shd w:fill="FFFFFF"/>
                  <w:vAlign w:val="top"/>
                </w:tcPr>
                <w:p>
                  <w:pPr>
                    <w:jc w:val="center"/>
                  </w:pPr>
                  <w:r>
                    <w:rPr>
                      <w:sz w:val="24"/>
                    </w:rPr>
                    <w:t>项目运营经费（万元）</w:t>
                  </w:r>
                </w:p>
              </w:tc>
              <w:tc>
                <w:tcPr>
                  <w:tcW w:type="dxa" w:w="1098"/>
                  <w:tcBorders>
                    <w:top w:val="single" w:color="000000" w:sz="4"/>
                    <w:left w:val="single" w:color="000000" w:sz="4"/>
                    <w:bottom w:val="single" w:color="000000" w:sz="4"/>
                    <w:right w:val="single" w:color="000000" w:sz="4"/>
                  </w:tcBorders>
                  <w:shd w:fill="FFFFFF"/>
                  <w:vAlign w:val="top"/>
                </w:tcPr>
                <w:p>
                  <w:pPr>
                    <w:jc w:val="center"/>
                  </w:pPr>
                  <w:r>
                    <w:rPr>
                      <w:sz w:val="24"/>
                    </w:rPr>
                    <w:t>项目服务奖励（万元）</w:t>
                  </w:r>
                </w:p>
              </w:tc>
              <w:tc>
                <w:tcPr>
                  <w:tcW w:type="dxa" w:w="703"/>
                  <w:tcBorders>
                    <w:top w:val="single" w:color="000000" w:sz="4"/>
                    <w:left w:val="single" w:color="000000" w:sz="4"/>
                    <w:bottom w:val="single" w:color="000000" w:sz="4"/>
                    <w:right w:val="single" w:color="000000" w:sz="4"/>
                  </w:tcBorders>
                  <w:shd w:fill="FFFFFF"/>
                  <w:vAlign w:val="top"/>
                </w:tcPr>
                <w:p>
                  <w:pPr>
                    <w:jc w:val="center"/>
                  </w:pPr>
                  <w:r>
                    <w:rPr>
                      <w:sz w:val="24"/>
                    </w:rPr>
                    <w:t>备注</w:t>
                  </w:r>
                </w:p>
              </w:tc>
            </w:tr>
            <w:tr>
              <w:tc>
                <w:tcPr>
                  <w:tcW w:type="dxa" w:w="1445"/>
                  <w:tcBorders>
                    <w:top w:val="none" w:color="000000" w:sz="4"/>
                    <w:left w:val="single" w:color="000000" w:sz="4"/>
                    <w:bottom w:val="single" w:color="000000" w:sz="4"/>
                    <w:right w:val="single" w:color="000000" w:sz="4"/>
                  </w:tcBorders>
                  <w:shd w:fill="FFFFFF"/>
                  <w:vAlign w:val="top"/>
                </w:tcPr>
                <w:p>
                  <w:pPr>
                    <w:jc w:val="center"/>
                  </w:pPr>
                  <w:r>
                    <w:rPr>
                      <w:sz w:val="24"/>
                    </w:rPr>
                    <w:t>广州市南沙区</w:t>
                  </w:r>
                  <w:r>
                    <w:rPr>
                      <w:sz w:val="24"/>
                    </w:rPr>
                    <w:t>综合养老服务中心运营</w:t>
                  </w:r>
                  <w:r>
                    <w:rPr>
                      <w:sz w:val="24"/>
                    </w:rPr>
                    <w:t>项目</w:t>
                  </w:r>
                </w:p>
              </w:tc>
              <w:tc>
                <w:tcPr>
                  <w:tcW w:type="dxa" w:w="1098"/>
                  <w:tcBorders>
                    <w:top w:val="none" w:color="000000" w:sz="4"/>
                    <w:left w:val="single" w:color="000000" w:sz="4"/>
                    <w:bottom w:val="single" w:color="000000" w:sz="4"/>
                    <w:right w:val="single" w:color="000000" w:sz="4"/>
                  </w:tcBorders>
                  <w:shd w:fill="FFFFFF"/>
                  <w:vAlign w:val="top"/>
                </w:tcPr>
                <w:p>
                  <w:pPr>
                    <w:jc w:val="center"/>
                  </w:pPr>
                  <w:r>
                    <w:rPr>
                      <w:sz w:val="24"/>
                    </w:rPr>
                    <w:t>200</w:t>
                  </w:r>
                </w:p>
              </w:tc>
              <w:tc>
                <w:tcPr>
                  <w:tcW w:type="dxa" w:w="1098"/>
                  <w:tcBorders>
                    <w:top w:val="none" w:color="000000" w:sz="4"/>
                    <w:left w:val="single" w:color="000000" w:sz="4"/>
                    <w:bottom w:val="single" w:color="000000" w:sz="4"/>
                    <w:right w:val="single" w:color="000000" w:sz="4"/>
                  </w:tcBorders>
                  <w:shd w:fill="FFFFFF"/>
                  <w:vAlign w:val="top"/>
                </w:tcPr>
                <w:p>
                  <w:pPr>
                    <w:jc w:val="center"/>
                  </w:pPr>
                  <w:r>
                    <w:rPr>
                      <w:sz w:val="24"/>
                    </w:rPr>
                    <w:t>120</w:t>
                  </w:r>
                </w:p>
              </w:tc>
              <w:tc>
                <w:tcPr>
                  <w:tcW w:type="dxa" w:w="1098"/>
                  <w:tcBorders>
                    <w:top w:val="none" w:color="000000" w:sz="4"/>
                    <w:left w:val="single" w:color="000000" w:sz="4"/>
                    <w:bottom w:val="single" w:color="000000" w:sz="4"/>
                    <w:right w:val="single" w:color="000000" w:sz="4"/>
                  </w:tcBorders>
                  <w:shd w:fill="FFFFFF"/>
                  <w:vAlign w:val="top"/>
                </w:tcPr>
                <w:p>
                  <w:pPr>
                    <w:jc w:val="center"/>
                  </w:pPr>
                  <w:r>
                    <w:rPr>
                      <w:sz w:val="24"/>
                    </w:rPr>
                    <w:t>80</w:t>
                  </w:r>
                </w:p>
              </w:tc>
              <w:tc>
                <w:tcPr>
                  <w:tcW w:type="dxa" w:w="703"/>
                  <w:tcBorders>
                    <w:top w:val="none" w:color="000000" w:sz="4"/>
                    <w:left w:val="single" w:color="000000" w:sz="4"/>
                    <w:bottom w:val="single" w:color="000000" w:sz="4"/>
                    <w:right w:val="single" w:color="000000" w:sz="4"/>
                  </w:tcBorders>
                  <w:shd w:fill="FFFFFF"/>
                  <w:vAlign w:val="top"/>
                </w:tcPr>
                <w:p>
                  <w:pPr>
                    <w:jc w:val="center"/>
                  </w:pPr>
                </w:p>
              </w:tc>
            </w:tr>
          </w:tbl>
          <w:p>
            <w:pPr>
              <w:ind w:firstLine="480"/>
              <w:jc w:val="both"/>
            </w:pPr>
            <w:r>
              <w:rPr>
                <w:sz w:val="24"/>
              </w:rPr>
              <w:t>备注：根据《广州市居家社区养老服务管理办法》，居家社区养老服务组织运营区级社区养老服务设施满</w:t>
            </w:r>
            <w:r>
              <w:rPr>
                <w:sz w:val="24"/>
              </w:rPr>
              <w:t>12个月且经服务评估评定为合格及以上等级的，应当享受相应等级的服务奖励。区级社区养老服务设施服务评估为优秀、良好、合格等级的，每年每个分别给予40万元、30万元、20万元服务奖励；其中，按规定直接面向周边社区居民提供生活照料、康复护理等服务的区级社区养老服务设施根据评估等级分别增加40万元、30万元、20万元服务奖励。</w:t>
            </w:r>
          </w:p>
          <w:p>
            <w:pPr>
              <w:ind w:firstLine="480"/>
              <w:jc w:val="both"/>
            </w:pPr>
            <w:r>
              <w:rPr>
                <w:sz w:val="24"/>
              </w:rPr>
              <w:t>二、项目需求</w:t>
            </w:r>
          </w:p>
          <w:p>
            <w:pPr>
              <w:ind w:firstLine="643"/>
            </w:pPr>
            <w:r>
              <w:rPr>
                <w:b/>
                <w:sz w:val="24"/>
              </w:rPr>
              <w:t>（一）项目内容</w:t>
            </w:r>
          </w:p>
          <w:p>
            <w:pPr>
              <w:ind w:firstLine="482"/>
              <w:jc w:val="both"/>
            </w:pPr>
            <w:r>
              <w:rPr>
                <w:b/>
                <w:sz w:val="24"/>
              </w:rPr>
              <w:t>1.运营管理内容</w:t>
            </w:r>
          </w:p>
          <w:p>
            <w:pPr>
              <w:ind w:firstLine="480"/>
              <w:jc w:val="both"/>
            </w:pPr>
            <w:r>
              <w:rPr>
                <w:sz w:val="24"/>
              </w:rPr>
              <w:t>服务机构根据《广州市居家社区养老服务管理办法》等文件要求，</w:t>
            </w:r>
            <w:r>
              <w:rPr>
                <w:sz w:val="24"/>
              </w:rPr>
              <w:t>运营</w:t>
            </w:r>
            <w:r>
              <w:rPr>
                <w:sz w:val="24"/>
              </w:rPr>
              <w:t>广州市南沙区</w:t>
            </w:r>
            <w:r>
              <w:rPr>
                <w:sz w:val="24"/>
              </w:rPr>
              <w:t>综合养老服务中心</w:t>
            </w:r>
            <w:r>
              <w:rPr>
                <w:sz w:val="24"/>
              </w:rPr>
              <w:t>。</w:t>
            </w:r>
            <w:r>
              <w:rPr>
                <w:sz w:val="24"/>
              </w:rPr>
              <w:t>为本区各镇街居家养老服务人员提供</w:t>
            </w:r>
            <w:r>
              <w:rPr>
                <w:sz w:val="24"/>
              </w:rPr>
              <w:t>专业技能</w:t>
            </w:r>
            <w:r>
              <w:rPr>
                <w:sz w:val="24"/>
              </w:rPr>
              <w:t>培训</w:t>
            </w:r>
            <w:r>
              <w:rPr>
                <w:sz w:val="24"/>
              </w:rPr>
              <w:t>和实训；巡查</w:t>
            </w:r>
            <w:r>
              <w:rPr>
                <w:sz w:val="24"/>
              </w:rPr>
              <w:t>全区居家养老服务设施并梳理更新台账，</w:t>
            </w:r>
            <w:r>
              <w:rPr>
                <w:sz w:val="24"/>
              </w:rPr>
              <w:t>及时发现存在问题并跟进整改情况；</w:t>
            </w:r>
            <w:r>
              <w:rPr>
                <w:sz w:val="24"/>
              </w:rPr>
              <w:t>开展居家养老服务督查指导，梳理总结居家养老服务经验和不足；组织开展居家养老</w:t>
            </w:r>
            <w:r>
              <w:rPr>
                <w:sz w:val="24"/>
              </w:rPr>
              <w:t>服务示范</w:t>
            </w:r>
            <w:r>
              <w:rPr>
                <w:sz w:val="24"/>
              </w:rPr>
              <w:t>活动，加强居家养老服务宣传展示；</w:t>
            </w:r>
            <w:r>
              <w:rPr>
                <w:sz w:val="24"/>
              </w:rPr>
              <w:t>设立养老服务向导，提供养老政策咨询、服务查询、办事指引、服务转介等服务</w:t>
            </w:r>
            <w:r>
              <w:rPr>
                <w:sz w:val="24"/>
              </w:rPr>
              <w:t>，</w:t>
            </w:r>
            <w:r>
              <w:rPr>
                <w:sz w:val="24"/>
              </w:rPr>
              <w:t>为开展</w:t>
            </w:r>
            <w:r>
              <w:rPr>
                <w:sz w:val="24"/>
              </w:rPr>
              <w:t>居家养老服务</w:t>
            </w:r>
            <w:r>
              <w:rPr>
                <w:sz w:val="24"/>
              </w:rPr>
              <w:t>提供必要的技术支持；协助广州市南沙区民政局完成居家社区养老服务其他督导检查等相关工作事项</w:t>
            </w:r>
            <w:r>
              <w:rPr>
                <w:sz w:val="24"/>
              </w:rPr>
              <w:t>。</w:t>
            </w:r>
          </w:p>
          <w:p>
            <w:pPr>
              <w:ind w:firstLine="482"/>
              <w:jc w:val="both"/>
            </w:pPr>
            <w:r>
              <w:rPr>
                <w:b/>
                <w:sz w:val="24"/>
              </w:rPr>
              <w:t>2.面向周边社区居民服务内容</w:t>
            </w:r>
          </w:p>
          <w:p>
            <w:pPr>
              <w:ind w:firstLine="480"/>
              <w:jc w:val="both"/>
            </w:pPr>
            <w:r>
              <w:rPr>
                <w:sz w:val="24"/>
              </w:rPr>
              <w:t>根据广州市地方标准《社区居家养老服务规范》等相关文件要求，为南沙区综合养老服务中心周边村（居）的老年人提供生活照料、助餐配餐、定期巡访、辅具租赁、家庭照护培训、文体教育、日间托管、临时托养、医养康养、康复护理等服务。</w:t>
            </w:r>
          </w:p>
          <w:p>
            <w:pPr>
              <w:ind w:firstLine="643"/>
            </w:pPr>
            <w:r>
              <w:rPr>
                <w:b/>
                <w:sz w:val="24"/>
              </w:rPr>
              <w:t>（</w:t>
            </w:r>
            <w:r>
              <w:rPr>
                <w:b/>
                <w:sz w:val="24"/>
              </w:rPr>
              <w:t>二</w:t>
            </w:r>
            <w:r>
              <w:rPr>
                <w:b/>
                <w:sz w:val="24"/>
              </w:rPr>
              <w:t>）服务区域：</w:t>
            </w:r>
            <w:r>
              <w:rPr>
                <w:sz w:val="24"/>
              </w:rPr>
              <w:t>广州市南沙区</w:t>
            </w:r>
          </w:p>
          <w:p>
            <w:pPr>
              <w:ind w:firstLine="482"/>
              <w:jc w:val="both"/>
            </w:pPr>
            <w:r>
              <w:rPr>
                <w:b/>
                <w:sz w:val="24"/>
              </w:rPr>
              <w:t>（</w:t>
            </w:r>
            <w:r>
              <w:rPr>
                <w:b/>
                <w:sz w:val="24"/>
              </w:rPr>
              <w:t>三</w:t>
            </w:r>
            <w:r>
              <w:rPr>
                <w:b/>
                <w:sz w:val="24"/>
              </w:rPr>
              <w:t>）服务对象：</w:t>
            </w:r>
          </w:p>
          <w:p>
            <w:pPr>
              <w:ind w:firstLine="480"/>
              <w:jc w:val="both"/>
            </w:pPr>
            <w:r>
              <w:rPr>
                <w:sz w:val="24"/>
              </w:rPr>
              <w:t>为南沙区各街道（镇）居家养老综合服务平台</w:t>
            </w:r>
            <w:r>
              <w:rPr>
                <w:sz w:val="24"/>
              </w:rPr>
              <w:t>及</w:t>
            </w:r>
            <w:r>
              <w:rPr>
                <w:sz w:val="24"/>
              </w:rPr>
              <w:t>各街道（镇）</w:t>
            </w:r>
            <w:r>
              <w:rPr>
                <w:sz w:val="24"/>
              </w:rPr>
              <w:t>综合养老服务中心、为南沙区综合养老服务中心周边村（居）的老年人群体</w:t>
            </w:r>
            <w:r>
              <w:rPr>
                <w:sz w:val="24"/>
              </w:rPr>
              <w:t>提供服务</w:t>
            </w:r>
            <w:r>
              <w:rPr>
                <w:sz w:val="24"/>
              </w:rPr>
              <w:t>，</w:t>
            </w:r>
            <w:r>
              <w:rPr>
                <w:sz w:val="24"/>
              </w:rPr>
              <w:t>覆盖率须达到</w:t>
            </w:r>
            <w:r>
              <w:rPr>
                <w:sz w:val="24"/>
              </w:rPr>
              <w:t>100%。</w:t>
            </w:r>
          </w:p>
          <w:p>
            <w:pPr>
              <w:ind w:firstLine="482"/>
              <w:jc w:val="both"/>
            </w:pPr>
            <w:r>
              <w:rPr>
                <w:b/>
                <w:sz w:val="24"/>
              </w:rPr>
              <w:t>（四）服务形式：</w:t>
            </w:r>
            <w:r>
              <w:rPr>
                <w:sz w:val="24"/>
              </w:rPr>
              <w:t>根据提供服务时的场所不同，分别为上门服务和到服务点服务。</w:t>
            </w:r>
          </w:p>
          <w:p>
            <w:pPr>
              <w:ind w:firstLine="482"/>
            </w:pPr>
            <w:r>
              <w:rPr>
                <w:b/>
                <w:sz w:val="24"/>
              </w:rPr>
              <w:t>（</w:t>
            </w:r>
            <w:r>
              <w:rPr>
                <w:b/>
                <w:sz w:val="24"/>
              </w:rPr>
              <w:t>五</w:t>
            </w:r>
            <w:r>
              <w:rPr>
                <w:b/>
                <w:sz w:val="24"/>
              </w:rPr>
              <w:t>）服务指标</w:t>
            </w:r>
          </w:p>
          <w:p>
            <w:pPr>
              <w:ind w:firstLine="480"/>
              <w:jc w:val="both"/>
            </w:pPr>
            <w:r>
              <w:rPr>
                <w:sz w:val="24"/>
              </w:rPr>
              <w:t>根据《广州市政府购买社区居家养老服务项目指引》等相关文件精神，本项目</w:t>
            </w:r>
            <w:r>
              <w:rPr>
                <w:sz w:val="24"/>
              </w:rPr>
              <w:t>至少配备</w:t>
            </w:r>
            <w:r>
              <w:rPr>
                <w:sz w:val="24"/>
              </w:rPr>
              <w:t>16</w:t>
            </w:r>
            <w:r>
              <w:rPr>
                <w:sz w:val="24"/>
              </w:rPr>
              <w:t>名工作人员</w:t>
            </w:r>
            <w:r>
              <w:rPr>
                <w:sz w:val="24"/>
              </w:rPr>
              <w:t>（其中全职工作人员不少于</w:t>
            </w:r>
            <w:r>
              <w:rPr>
                <w:sz w:val="24"/>
              </w:rPr>
              <w:t>14名</w:t>
            </w:r>
            <w:r>
              <w:rPr>
                <w:sz w:val="24"/>
              </w:rPr>
              <w:t>）</w:t>
            </w:r>
            <w:r>
              <w:rPr>
                <w:sz w:val="24"/>
              </w:rPr>
              <w:t>及若干名兼职工作人员，</w:t>
            </w:r>
            <w:r>
              <w:rPr>
                <w:sz w:val="24"/>
              </w:rPr>
              <w:t>结合本区实际和项目服务内容，具体指标安排详见下表。</w:t>
            </w:r>
          </w:p>
          <w:p>
            <w:pPr>
              <w:jc w:val="both"/>
            </w:pPr>
          </w:p>
          <w:p>
            <w:pPr>
              <w:jc w:val="both"/>
            </w:pPr>
          </w:p>
          <w:p>
            <w:pPr>
              <w:jc w:val="center"/>
            </w:pPr>
            <w:r>
              <w:rPr>
                <w:sz w:val="24"/>
              </w:rPr>
              <w:t>表</w:t>
            </w:r>
            <w:r>
              <w:rPr>
                <w:sz w:val="24"/>
              </w:rPr>
              <w:t>2  服务指标表</w:t>
            </w:r>
          </w:p>
          <w:tbl>
            <w:tblPr>
              <w:tblBorders>
                <w:top w:val="none" w:color="000000" w:sz="4"/>
                <w:left w:val="none" w:color="000000" w:sz="4"/>
                <w:bottom w:val="none" w:color="000000" w:sz="4"/>
                <w:right w:val="none" w:color="000000" w:sz="4"/>
                <w:insideH w:val="none"/>
                <w:insideV w:val="none"/>
              </w:tblBorders>
            </w:tblPr>
            <w:tblGrid>
              <w:gridCol w:w="542"/>
              <w:gridCol w:w="926"/>
              <w:gridCol w:w="3518"/>
              <w:gridCol w:w="591"/>
            </w:tblGrid>
            <w:tr>
              <w:tc>
                <w:tcPr>
                  <w:tcW w:type="dxa" w:w="542"/>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926"/>
                  <w:tcBorders>
                    <w:top w:val="single" w:color="000000" w:sz="4"/>
                    <w:left w:val="none" w:color="000000" w:sz="4"/>
                    <w:bottom w:val="single" w:color="000000" w:sz="4"/>
                    <w:right w:val="single" w:color="000000" w:sz="4"/>
                  </w:tcBorders>
                  <w:vAlign w:val="top"/>
                </w:tcPr>
                <w:p>
                  <w:pPr>
                    <w:jc w:val="center"/>
                  </w:pPr>
                  <w:r>
                    <w:rPr>
                      <w:sz w:val="24"/>
                    </w:rPr>
                    <w:t>服务事项</w:t>
                  </w:r>
                </w:p>
              </w:tc>
              <w:tc>
                <w:tcPr>
                  <w:tcW w:type="dxa" w:w="3518"/>
                  <w:tcBorders>
                    <w:top w:val="single" w:color="000000" w:sz="4"/>
                    <w:left w:val="none" w:color="000000" w:sz="4"/>
                    <w:bottom w:val="single" w:color="000000" w:sz="4"/>
                    <w:right w:val="single" w:color="000000" w:sz="4"/>
                  </w:tcBorders>
                  <w:vAlign w:val="top"/>
                </w:tcPr>
                <w:p>
                  <w:pPr>
                    <w:jc w:val="center"/>
                  </w:pPr>
                  <w:r>
                    <w:rPr>
                      <w:sz w:val="24"/>
                    </w:rPr>
                    <w:t>服务内容</w:t>
                  </w:r>
                </w:p>
              </w:tc>
              <w:tc>
                <w:tcPr>
                  <w:tcW w:type="dxa" w:w="591"/>
                  <w:tcBorders>
                    <w:top w:val="single" w:color="000000" w:sz="4"/>
                    <w:left w:val="none" w:color="000000" w:sz="4"/>
                    <w:bottom w:val="single" w:color="000000" w:sz="4"/>
                    <w:right w:val="single" w:color="000000" w:sz="4"/>
                  </w:tcBorders>
                  <w:vAlign w:val="top"/>
                </w:tcPr>
                <w:p>
                  <w:pPr>
                    <w:jc w:val="center"/>
                  </w:pPr>
                  <w:r>
                    <w:rPr>
                      <w:sz w:val="24"/>
                    </w:rPr>
                    <w:t>备注</w:t>
                  </w:r>
                </w:p>
              </w:tc>
            </w:tr>
            <w:tr>
              <w:tc>
                <w:tcPr>
                  <w:tcW w:type="dxa" w:w="542"/>
                  <w:tcBorders>
                    <w:top w:val="none" w:color="000000" w:sz="4"/>
                    <w:left w:val="single" w:color="000000" w:sz="4"/>
                    <w:bottom w:val="single" w:color="000000" w:sz="4"/>
                    <w:right w:val="single" w:color="000000" w:sz="4"/>
                  </w:tcBorders>
                  <w:vAlign w:val="top"/>
                </w:tcPr>
                <w:p>
                  <w:pPr>
                    <w:jc w:val="center"/>
                  </w:pPr>
                  <w:r>
                    <w:rPr>
                      <w:sz w:val="24"/>
                    </w:rPr>
                    <w:t>1</w:t>
                  </w:r>
                </w:p>
              </w:tc>
              <w:tc>
                <w:tcPr>
                  <w:tcW w:type="dxa" w:w="926"/>
                  <w:tcBorders>
                    <w:top w:val="none" w:color="000000" w:sz="4"/>
                    <w:left w:val="none" w:color="000000" w:sz="4"/>
                    <w:bottom w:val="single" w:color="000000" w:sz="4"/>
                    <w:right w:val="single" w:color="000000" w:sz="4"/>
                  </w:tcBorders>
                  <w:vAlign w:val="top"/>
                </w:tcPr>
                <w:p>
                  <w:pPr>
                    <w:jc w:val="center"/>
                  </w:pPr>
                  <w:r>
                    <w:rPr>
                      <w:sz w:val="24"/>
                    </w:rPr>
                    <w:t>居家社区养老服务人员实训</w:t>
                  </w:r>
                </w:p>
              </w:tc>
              <w:tc>
                <w:tcPr>
                  <w:tcW w:type="dxa" w:w="3518"/>
                  <w:tcBorders>
                    <w:top w:val="none" w:color="000000" w:sz="4"/>
                    <w:left w:val="none" w:color="000000" w:sz="4"/>
                    <w:bottom w:val="single" w:color="000000" w:sz="4"/>
                    <w:right w:val="single" w:color="000000" w:sz="4"/>
                  </w:tcBorders>
                  <w:vAlign w:val="top"/>
                </w:tcPr>
                <w:p>
                  <w:pPr>
                    <w:jc w:val="left"/>
                  </w:pPr>
                  <w:r>
                    <w:rPr>
                      <w:sz w:val="24"/>
                    </w:rPr>
                    <w:t>针对全区的居家社区养老服务管理人员、养老护理员、专业技术工作人员等从业人员开展专业能力知识及技能指导培训；其他根据服务事项的培训要定期开展实施。每月开展不少于</w:t>
                  </w:r>
                  <w:r>
                    <w:rPr>
                      <w:sz w:val="24"/>
                    </w:rPr>
                    <w:t>1次业务培训。</w:t>
                  </w:r>
                </w:p>
              </w:tc>
              <w:tc>
                <w:tcPr>
                  <w:tcW w:type="dxa" w:w="591"/>
                  <w:tcBorders>
                    <w:top w:val="none" w:color="000000" w:sz="4"/>
                    <w:left w:val="none" w:color="000000" w:sz="4"/>
                    <w:bottom w:val="single" w:color="000000" w:sz="4"/>
                    <w:right w:val="single" w:color="000000" w:sz="4"/>
                  </w:tcBorders>
                  <w:vAlign w:val="top"/>
                </w:tcPr>
                <w:p>
                  <w:pPr>
                    <w:jc w:val="left"/>
                  </w:pPr>
                </w:p>
              </w:tc>
            </w:tr>
            <w:tr>
              <w:tc>
                <w:tcPr>
                  <w:tcW w:type="dxa" w:w="542"/>
                  <w:tcBorders>
                    <w:top w:val="none" w:color="000000" w:sz="4"/>
                    <w:left w:val="single" w:color="000000" w:sz="4"/>
                    <w:bottom w:val="single" w:color="000000" w:sz="4"/>
                    <w:right w:val="single" w:color="000000" w:sz="4"/>
                  </w:tcBorders>
                  <w:vAlign w:val="top"/>
                </w:tcPr>
                <w:p>
                  <w:pPr>
                    <w:jc w:val="center"/>
                  </w:pPr>
                  <w:r>
                    <w:rPr>
                      <w:sz w:val="24"/>
                    </w:rPr>
                    <w:t>2</w:t>
                  </w:r>
                </w:p>
              </w:tc>
              <w:tc>
                <w:tcPr>
                  <w:tcW w:type="dxa" w:w="926"/>
                  <w:tcBorders>
                    <w:top w:val="none" w:color="000000" w:sz="4"/>
                    <w:left w:val="none" w:color="000000" w:sz="4"/>
                    <w:bottom w:val="single" w:color="000000" w:sz="4"/>
                    <w:right w:val="single" w:color="000000" w:sz="4"/>
                  </w:tcBorders>
                  <w:vAlign w:val="top"/>
                </w:tcPr>
                <w:p>
                  <w:pPr>
                    <w:jc w:val="center"/>
                  </w:pPr>
                  <w:r>
                    <w:rPr>
                      <w:sz w:val="24"/>
                    </w:rPr>
                    <w:t>居家养老服务设施巡查指导</w:t>
                  </w:r>
                </w:p>
              </w:tc>
              <w:tc>
                <w:tcPr>
                  <w:tcW w:type="dxa" w:w="3518"/>
                  <w:tcBorders>
                    <w:top w:val="none" w:color="000000" w:sz="4"/>
                    <w:left w:val="none" w:color="000000" w:sz="4"/>
                    <w:bottom w:val="single" w:color="000000" w:sz="4"/>
                    <w:right w:val="single" w:color="000000" w:sz="4"/>
                  </w:tcBorders>
                  <w:vAlign w:val="top"/>
                </w:tcPr>
                <w:p>
                  <w:pPr>
                    <w:jc w:val="left"/>
                  </w:pPr>
                  <w:r>
                    <w:rPr>
                      <w:sz w:val="24"/>
                    </w:rPr>
                    <w:t>梳理并动态更新全区居家社区养老服务设施台账；定期走访各镇街综合养老服务中心及其他居家社区养老服务设施等，每月巡访督导各镇街不少于</w:t>
                  </w:r>
                  <w:r>
                    <w:rPr>
                      <w:sz w:val="24"/>
                    </w:rPr>
                    <w:t>1次，并形成巡查督导书面材料。</w:t>
                  </w:r>
                </w:p>
              </w:tc>
              <w:tc>
                <w:tcPr>
                  <w:tcW w:type="dxa" w:w="591"/>
                  <w:tcBorders>
                    <w:top w:val="none" w:color="000000" w:sz="4"/>
                    <w:left w:val="none" w:color="000000" w:sz="4"/>
                    <w:bottom w:val="single" w:color="000000" w:sz="4"/>
                    <w:right w:val="single" w:color="000000" w:sz="4"/>
                  </w:tcBorders>
                  <w:vAlign w:val="top"/>
                </w:tcPr>
                <w:p>
                  <w:pPr>
                    <w:jc w:val="left"/>
                  </w:pPr>
                </w:p>
              </w:tc>
            </w:tr>
            <w:tr>
              <w:tc>
                <w:tcPr>
                  <w:tcW w:type="dxa" w:w="542"/>
                  <w:tcBorders>
                    <w:top w:val="none" w:color="000000" w:sz="4"/>
                    <w:left w:val="single" w:color="000000" w:sz="4"/>
                    <w:bottom w:val="single" w:color="000000" w:sz="4"/>
                    <w:right w:val="single" w:color="000000" w:sz="4"/>
                  </w:tcBorders>
                  <w:vAlign w:val="top"/>
                </w:tcPr>
                <w:p>
                  <w:pPr>
                    <w:jc w:val="center"/>
                  </w:pPr>
                  <w:r>
                    <w:rPr>
                      <w:sz w:val="24"/>
                    </w:rPr>
                    <w:t>3</w:t>
                  </w:r>
                </w:p>
              </w:tc>
              <w:tc>
                <w:tcPr>
                  <w:tcW w:type="dxa" w:w="926"/>
                  <w:tcBorders>
                    <w:top w:val="none" w:color="000000" w:sz="4"/>
                    <w:left w:val="none" w:color="000000" w:sz="4"/>
                    <w:bottom w:val="single" w:color="000000" w:sz="4"/>
                    <w:right w:val="single" w:color="000000" w:sz="4"/>
                  </w:tcBorders>
                  <w:vAlign w:val="top"/>
                </w:tcPr>
                <w:p>
                  <w:pPr>
                    <w:jc w:val="center"/>
                  </w:pPr>
                  <w:r>
                    <w:rPr>
                      <w:sz w:val="24"/>
                    </w:rPr>
                    <w:t>居家养老服务质量监督</w:t>
                  </w:r>
                </w:p>
              </w:tc>
              <w:tc>
                <w:tcPr>
                  <w:tcW w:type="dxa" w:w="3518"/>
                  <w:tcBorders>
                    <w:top w:val="none" w:color="000000" w:sz="4"/>
                    <w:left w:val="none" w:color="000000" w:sz="4"/>
                    <w:bottom w:val="single" w:color="000000" w:sz="4"/>
                    <w:right w:val="single" w:color="000000" w:sz="4"/>
                  </w:tcBorders>
                  <w:vAlign w:val="top"/>
                </w:tcPr>
                <w:p>
                  <w:pPr>
                    <w:jc w:val="both"/>
                  </w:pPr>
                  <w:r>
                    <w:rPr>
                      <w:sz w:val="24"/>
                    </w:rPr>
                    <w:t>1.</w:t>
                  </w:r>
                  <w:r>
                    <w:rPr>
                      <w:sz w:val="24"/>
                    </w:rPr>
                    <w:t>配合服务购买方实施全区居家社区养老服务设施、居家养老上门服务、助餐配餐服务、服务项目评估、老年人照护需求等级评估、家庭养老床位建设和服务、适老化改造、特困人员照料护理、特殊困难老年人巡防等工作的监督指导，核实居家社区养老服务对象的资助资格、服务方案和服务协议等信息，每月至少开展</w:t>
                  </w:r>
                  <w:r>
                    <w:rPr>
                      <w:sz w:val="24"/>
                    </w:rPr>
                    <w:t>1次现场工作检查，每月形成1份工作情况总结。</w:t>
                  </w:r>
                </w:p>
                <w:p>
                  <w:pPr>
                    <w:jc w:val="both"/>
                  </w:pPr>
                  <w:r>
                    <w:rPr>
                      <w:sz w:val="24"/>
                    </w:rPr>
                    <w:t>2.使用广州市居家养老综合信息服务平台等系统，按每镇街20%的覆盖率抽查各镇街居家养老上门服务记录，按每镇街0.5%的覆盖率抽查助餐配餐服务记录，</w:t>
                  </w:r>
                  <w:r>
                    <w:rPr>
                      <w:sz w:val="24"/>
                    </w:rPr>
                    <w:t>每月对全区补录和离线工单进行全面核查，每月补录和离线工单核查率达</w:t>
                  </w:r>
                  <w:r>
                    <w:rPr>
                      <w:sz w:val="24"/>
                    </w:rPr>
                    <w:t>100%，</w:t>
                  </w:r>
                  <w:r>
                    <w:rPr>
                      <w:sz w:val="24"/>
                    </w:rPr>
                    <w:t>每月形成</w:t>
                  </w:r>
                  <w:r>
                    <w:rPr>
                      <w:sz w:val="24"/>
                    </w:rPr>
                    <w:t>1份工单核查台账。</w:t>
                  </w:r>
                </w:p>
                <w:p>
                  <w:pPr>
                    <w:jc w:val="both"/>
                  </w:pPr>
                  <w:r>
                    <w:rPr>
                      <w:sz w:val="24"/>
                    </w:rPr>
                    <w:t>3.通过电访和入户走访的方式开展居家社区养老服务情况核查，跟进服务开展情况，每月电访不少于100户服务对象，实地走访不少于10户，每月形成服务核查台账1份，对发现的问题及时跟进整改情况。</w:t>
                  </w:r>
                </w:p>
                <w:p>
                  <w:pPr>
                    <w:jc w:val="both"/>
                  </w:pPr>
                  <w:r>
                    <w:rPr>
                      <w:sz w:val="24"/>
                    </w:rPr>
                    <w:t>4.每月梳理服务工单抽查、电访和入户走访等相关情况，并形成月度通报一份。</w:t>
                  </w:r>
                </w:p>
                <w:p>
                  <w:pPr>
                    <w:jc w:val="both"/>
                  </w:pPr>
                  <w:r>
                    <w:rPr>
                      <w:sz w:val="24"/>
                    </w:rPr>
                    <w:t>5.按照市评估体系及有关规定，协助落实9个镇街服务项目中期和末期评估工作，跟进评估问题整改工作，形成问题整改台账并动态更新整改情况。</w:t>
                  </w:r>
                </w:p>
                <w:p>
                  <w:pPr>
                    <w:jc w:val="both"/>
                  </w:pPr>
                  <w:r>
                    <w:rPr>
                      <w:sz w:val="24"/>
                    </w:rPr>
                    <w:t>6.协助跟进“党建+”农村邻里互助养老服务试点项目日常服务开展情况，核查服务真实性，开展优秀互助养老员和党员志愿者评优评先工作，并做好相关记录台账。组织专家对“党建+”农村邻里互助养老服务试点项目进行中期和末期评估，加强服务过程监督；总结梳理试点项目经验，巩固试点项目成效，保障服务质量。</w:t>
                  </w:r>
                </w:p>
                <w:p>
                  <w:pPr>
                    <w:jc w:val="both"/>
                  </w:pPr>
                  <w:r>
                    <w:rPr>
                      <w:sz w:val="24"/>
                    </w:rPr>
                    <w:t>7.每月检查各镇街综合养老服务中心的服务对象花名册、</w:t>
                  </w:r>
                  <w:r>
                    <w:rPr>
                      <w:sz w:val="24"/>
                    </w:rPr>
                    <w:t>通过电访或入户探访等形式核查特殊困难老年人巡访相关报表及台账的真实性。</w:t>
                  </w:r>
                </w:p>
                <w:p>
                  <w:pPr>
                    <w:jc w:val="both"/>
                  </w:pPr>
                  <w:r>
                    <w:rPr>
                      <w:sz w:val="24"/>
                    </w:rPr>
                    <w:t>8.实施“一镇（街）一档案”管理模式，每个镇街形成1份管理档案，并每月更新1次。</w:t>
                  </w:r>
                </w:p>
                <w:p>
                  <w:pPr>
                    <w:jc w:val="both"/>
                  </w:pPr>
                  <w:r>
                    <w:rPr>
                      <w:sz w:val="24"/>
                    </w:rPr>
                    <w:t>9.每月按市、区关于居家社区养老服务月度报告及工单核查统计的相关要求，形成月度报表并按期报送。</w:t>
                  </w:r>
                </w:p>
                <w:p>
                  <w:pPr>
                    <w:jc w:val="both"/>
                  </w:pPr>
                  <w:r>
                    <w:rPr>
                      <w:sz w:val="24"/>
                    </w:rPr>
                    <w:t>10.完成服务购买方交办的关于居家社区养老服务其他督导检查等工作事项。</w:t>
                  </w:r>
                </w:p>
              </w:tc>
              <w:tc>
                <w:tcPr>
                  <w:tcW w:type="dxa" w:w="591"/>
                  <w:tcBorders>
                    <w:top w:val="none" w:color="000000" w:sz="4"/>
                    <w:left w:val="none" w:color="000000" w:sz="4"/>
                    <w:bottom w:val="single" w:color="000000" w:sz="4"/>
                    <w:right w:val="single" w:color="000000" w:sz="4"/>
                  </w:tcBorders>
                  <w:vAlign w:val="top"/>
                </w:tcPr>
                <w:p>
                  <w:pPr>
                    <w:jc w:val="both"/>
                  </w:pPr>
                </w:p>
              </w:tc>
            </w:tr>
            <w:tr>
              <w:tc>
                <w:tcPr>
                  <w:tcW w:type="dxa" w:w="542"/>
                  <w:tcBorders>
                    <w:top w:val="none" w:color="000000" w:sz="4"/>
                    <w:left w:val="single" w:color="000000" w:sz="4"/>
                    <w:bottom w:val="single" w:color="000000" w:sz="4"/>
                    <w:right w:val="single" w:color="000000" w:sz="4"/>
                  </w:tcBorders>
                  <w:vAlign w:val="top"/>
                </w:tcPr>
                <w:p>
                  <w:pPr>
                    <w:jc w:val="center"/>
                  </w:pPr>
                  <w:r>
                    <w:rPr>
                      <w:sz w:val="24"/>
                    </w:rPr>
                    <w:t>4</w:t>
                  </w:r>
                </w:p>
              </w:tc>
              <w:tc>
                <w:tcPr>
                  <w:tcW w:type="dxa" w:w="926"/>
                  <w:tcBorders>
                    <w:top w:val="none" w:color="000000" w:sz="4"/>
                    <w:left w:val="none" w:color="000000" w:sz="4"/>
                    <w:bottom w:val="single" w:color="000000" w:sz="4"/>
                    <w:right w:val="single" w:color="000000" w:sz="4"/>
                  </w:tcBorders>
                  <w:vAlign w:val="top"/>
                </w:tcPr>
                <w:p>
                  <w:pPr>
                    <w:jc w:val="center"/>
                  </w:pPr>
                  <w:r>
                    <w:rPr>
                      <w:sz w:val="24"/>
                    </w:rPr>
                    <w:t>居家养老服务质量提升</w:t>
                  </w:r>
                </w:p>
              </w:tc>
              <w:tc>
                <w:tcPr>
                  <w:tcW w:type="dxa" w:w="3518"/>
                  <w:tcBorders>
                    <w:top w:val="none" w:color="000000" w:sz="4"/>
                    <w:left w:val="none" w:color="000000" w:sz="4"/>
                    <w:bottom w:val="single" w:color="000000" w:sz="4"/>
                    <w:right w:val="single" w:color="000000" w:sz="4"/>
                  </w:tcBorders>
                  <w:vAlign w:val="top"/>
                </w:tcPr>
                <w:p>
                  <w:pPr>
                    <w:jc w:val="left"/>
                  </w:pPr>
                  <w:r>
                    <w:rPr>
                      <w:sz w:val="24"/>
                    </w:rPr>
                    <w:t>1.投诉处理：依据《投诉处理指南》（GB/T 17242-1998)的要求积极主动处理投诉事件，根据实际工作情况安排。</w:t>
                  </w:r>
                </w:p>
                <w:p>
                  <w:pPr>
                    <w:jc w:val="left"/>
                  </w:pPr>
                  <w:r>
                    <w:rPr>
                      <w:sz w:val="24"/>
                    </w:rPr>
                    <w:t>2.需求调查：通过入户走访、电话回访、座谈会等方式开展居家社区养老服务需求调查工作，从老年人、服务机构、从业人员和项目可持续发展等多角度摸查和调研需求，形成需求调查报告；每年至少开展2次服务需求调研。</w:t>
                  </w:r>
                </w:p>
                <w:p>
                  <w:pPr>
                    <w:jc w:val="left"/>
                  </w:pPr>
                  <w:r>
                    <w:rPr>
                      <w:sz w:val="24"/>
                    </w:rPr>
                    <w:t>3.满意度调查：制定和完善满意度调查管理制度，明确调查对象、频率、方式和内容；定期开展全区居家社区养老服务、助餐配餐服务满意度调查，并提出建设性意见和建议；每年至少开展2次满意度调查。</w:t>
                  </w:r>
                </w:p>
              </w:tc>
              <w:tc>
                <w:tcPr>
                  <w:tcW w:type="dxa" w:w="591"/>
                  <w:tcBorders>
                    <w:top w:val="none" w:color="000000" w:sz="4"/>
                    <w:left w:val="none" w:color="000000" w:sz="4"/>
                    <w:bottom w:val="single" w:color="000000" w:sz="4"/>
                    <w:right w:val="single" w:color="000000" w:sz="4"/>
                  </w:tcBorders>
                  <w:vAlign w:val="top"/>
                </w:tcPr>
                <w:p>
                  <w:pPr>
                    <w:jc w:val="left"/>
                  </w:pPr>
                </w:p>
              </w:tc>
            </w:tr>
            <w:tr>
              <w:tc>
                <w:tcPr>
                  <w:tcW w:type="dxa" w:w="542"/>
                  <w:tcBorders>
                    <w:top w:val="none" w:color="000000" w:sz="4"/>
                    <w:left w:val="single" w:color="000000" w:sz="4"/>
                    <w:bottom w:val="single" w:color="000000" w:sz="4"/>
                    <w:right w:val="single" w:color="000000" w:sz="4"/>
                  </w:tcBorders>
                  <w:vAlign w:val="top"/>
                </w:tcPr>
                <w:p>
                  <w:pPr>
                    <w:jc w:val="center"/>
                  </w:pPr>
                  <w:r>
                    <w:rPr>
                      <w:sz w:val="24"/>
                    </w:rPr>
                    <w:t>5</w:t>
                  </w:r>
                </w:p>
              </w:tc>
              <w:tc>
                <w:tcPr>
                  <w:tcW w:type="dxa" w:w="926"/>
                  <w:tcBorders>
                    <w:top w:val="none" w:color="000000" w:sz="4"/>
                    <w:left w:val="none" w:color="000000" w:sz="4"/>
                    <w:bottom w:val="single" w:color="000000" w:sz="4"/>
                    <w:right w:val="single" w:color="000000" w:sz="4"/>
                  </w:tcBorders>
                  <w:vAlign w:val="top"/>
                </w:tcPr>
                <w:p>
                  <w:pPr>
                    <w:jc w:val="center"/>
                  </w:pPr>
                  <w:r>
                    <w:rPr>
                      <w:sz w:val="24"/>
                    </w:rPr>
                    <w:t>政策及信息宣传</w:t>
                  </w:r>
                </w:p>
              </w:tc>
              <w:tc>
                <w:tcPr>
                  <w:tcW w:type="dxa" w:w="3518"/>
                  <w:tcBorders>
                    <w:top w:val="none" w:color="000000" w:sz="4"/>
                    <w:left w:val="none" w:color="000000" w:sz="4"/>
                    <w:bottom w:val="single" w:color="000000" w:sz="4"/>
                    <w:right w:val="single" w:color="000000" w:sz="4"/>
                  </w:tcBorders>
                  <w:vAlign w:val="top"/>
                </w:tcPr>
                <w:p>
                  <w:pPr>
                    <w:jc w:val="left"/>
                  </w:pPr>
                  <w:r>
                    <w:rPr>
                      <w:sz w:val="24"/>
                    </w:rPr>
                    <w:t>1.及时梳理现行政策，形成和动态更新政策清单列表。</w:t>
                  </w:r>
                </w:p>
                <w:p>
                  <w:pPr>
                    <w:jc w:val="left"/>
                  </w:pPr>
                  <w:r>
                    <w:rPr>
                      <w:sz w:val="24"/>
                    </w:rPr>
                    <w:t>2.整合现有为老资源，线上宣传资源渠道定期更新，优化现有微信公众号等平台和渠道建设，每周至少发布宣传资讯1次，</w:t>
                  </w:r>
                  <w:r>
                    <w:rPr>
                      <w:sz w:val="24"/>
                    </w:rPr>
                    <w:t>全年在新闻媒体上发表不少于</w:t>
                  </w:r>
                  <w:r>
                    <w:rPr>
                      <w:sz w:val="24"/>
                    </w:rPr>
                    <w:t>6篇资讯。</w:t>
                  </w:r>
                </w:p>
                <w:p>
                  <w:pPr>
                    <w:jc w:val="left"/>
                  </w:pPr>
                  <w:r>
                    <w:rPr>
                      <w:sz w:val="24"/>
                    </w:rPr>
                    <w:t>3.每年组织开展经验分享及宣传活动不少于3次。</w:t>
                  </w:r>
                </w:p>
                <w:p>
                  <w:pPr>
                    <w:jc w:val="left"/>
                  </w:pPr>
                  <w:r>
                    <w:rPr>
                      <w:sz w:val="24"/>
                    </w:rPr>
                    <w:t>4.及时掌握全区居家社区养老服务开展情况，进行服务成果展示和示范；</w:t>
                  </w:r>
                  <w:r>
                    <w:rPr>
                      <w:sz w:val="24"/>
                    </w:rPr>
                    <w:t>梳理服务经验和成果，形成经验文章不少于</w:t>
                  </w:r>
                  <w:r>
                    <w:rPr>
                      <w:sz w:val="24"/>
                    </w:rPr>
                    <w:t>2篇。</w:t>
                  </w:r>
                </w:p>
                <w:p>
                  <w:pPr>
                    <w:jc w:val="left"/>
                  </w:pPr>
                  <w:r>
                    <w:rPr>
                      <w:sz w:val="24"/>
                    </w:rPr>
                    <w:t>5.摸清全区居家社区养老服务设施分布情况，掌握全区居家社区养老服务基本情况，建立具有本区特色的养老服务地图。</w:t>
                  </w:r>
                </w:p>
              </w:tc>
              <w:tc>
                <w:tcPr>
                  <w:tcW w:type="dxa" w:w="591"/>
                  <w:tcBorders>
                    <w:top w:val="none" w:color="000000" w:sz="4"/>
                    <w:left w:val="none" w:color="000000" w:sz="4"/>
                    <w:bottom w:val="single" w:color="000000" w:sz="4"/>
                    <w:right w:val="single" w:color="000000" w:sz="4"/>
                  </w:tcBorders>
                  <w:vAlign w:val="top"/>
                </w:tcPr>
                <w:p>
                  <w:pPr>
                    <w:jc w:val="left"/>
                  </w:pPr>
                </w:p>
              </w:tc>
            </w:tr>
            <w:tr>
              <w:tc>
                <w:tcPr>
                  <w:tcW w:type="dxa" w:w="542"/>
                  <w:tcBorders>
                    <w:top w:val="none" w:color="000000" w:sz="4"/>
                    <w:left w:val="single" w:color="000000" w:sz="4"/>
                    <w:bottom w:val="single" w:color="000000" w:sz="4"/>
                    <w:right w:val="single" w:color="000000" w:sz="4"/>
                  </w:tcBorders>
                  <w:vAlign w:val="top"/>
                </w:tcPr>
                <w:p>
                  <w:pPr>
                    <w:jc w:val="center"/>
                  </w:pPr>
                  <w:r>
                    <w:rPr>
                      <w:sz w:val="24"/>
                    </w:rPr>
                    <w:t>6</w:t>
                  </w:r>
                </w:p>
              </w:tc>
              <w:tc>
                <w:tcPr>
                  <w:tcW w:type="dxa" w:w="926"/>
                  <w:tcBorders>
                    <w:top w:val="none" w:color="000000" w:sz="4"/>
                    <w:left w:val="none" w:color="000000" w:sz="4"/>
                    <w:bottom w:val="single" w:color="000000" w:sz="4"/>
                    <w:right w:val="single" w:color="000000" w:sz="4"/>
                  </w:tcBorders>
                  <w:vAlign w:val="top"/>
                </w:tcPr>
                <w:p>
                  <w:pPr>
                    <w:jc w:val="center"/>
                  </w:pPr>
                  <w:r>
                    <w:rPr>
                      <w:sz w:val="24"/>
                    </w:rPr>
                    <w:t>养老服务向导</w:t>
                  </w:r>
                </w:p>
              </w:tc>
              <w:tc>
                <w:tcPr>
                  <w:tcW w:type="dxa" w:w="3518"/>
                  <w:tcBorders>
                    <w:top w:val="none" w:color="000000" w:sz="4"/>
                    <w:left w:val="none" w:color="000000" w:sz="4"/>
                    <w:bottom w:val="single" w:color="000000" w:sz="4"/>
                    <w:right w:val="single" w:color="000000" w:sz="4"/>
                  </w:tcBorders>
                  <w:vAlign w:val="top"/>
                </w:tcPr>
                <w:p>
                  <w:pPr>
                    <w:jc w:val="left"/>
                  </w:pPr>
                  <w:r>
                    <w:rPr>
                      <w:sz w:val="24"/>
                    </w:rPr>
                    <w:t>设立养老服务向导点，提供养老政策资讯、服务查询、办事指引、服务转介等服务。</w:t>
                  </w:r>
                </w:p>
              </w:tc>
              <w:tc>
                <w:tcPr>
                  <w:tcW w:type="dxa" w:w="591"/>
                  <w:tcBorders>
                    <w:top w:val="none" w:color="000000" w:sz="4"/>
                    <w:left w:val="none" w:color="000000" w:sz="4"/>
                    <w:bottom w:val="single" w:color="000000" w:sz="4"/>
                    <w:right w:val="single" w:color="000000" w:sz="4"/>
                  </w:tcBorders>
                  <w:vAlign w:val="top"/>
                </w:tcPr>
                <w:p>
                  <w:pPr>
                    <w:jc w:val="left"/>
                  </w:pPr>
                </w:p>
              </w:tc>
            </w:tr>
            <w:tr>
              <w:tc>
                <w:tcPr>
                  <w:tcW w:type="dxa" w:w="542"/>
                  <w:tcBorders>
                    <w:top w:val="none" w:color="000000" w:sz="4"/>
                    <w:left w:val="single" w:color="000000" w:sz="4"/>
                    <w:bottom w:val="single" w:color="000000" w:sz="4"/>
                    <w:right w:val="single" w:color="000000" w:sz="4"/>
                  </w:tcBorders>
                  <w:vAlign w:val="top"/>
                </w:tcPr>
                <w:p>
                  <w:pPr>
                    <w:jc w:val="center"/>
                  </w:pPr>
                  <w:r>
                    <w:rPr>
                      <w:sz w:val="24"/>
                    </w:rPr>
                    <w:t>7</w:t>
                  </w:r>
                </w:p>
              </w:tc>
              <w:tc>
                <w:tcPr>
                  <w:tcW w:type="dxa" w:w="926"/>
                  <w:tcBorders>
                    <w:top w:val="none" w:color="000000" w:sz="4"/>
                    <w:left w:val="none" w:color="000000" w:sz="4"/>
                    <w:bottom w:val="single" w:color="000000" w:sz="4"/>
                    <w:right w:val="single" w:color="000000" w:sz="4"/>
                  </w:tcBorders>
                  <w:vAlign w:val="top"/>
                </w:tcPr>
                <w:p>
                  <w:pPr>
                    <w:jc w:val="center"/>
                  </w:pPr>
                  <w:r>
                    <w:rPr>
                      <w:sz w:val="24"/>
                    </w:rPr>
                    <w:t>建立服务对象个人档案</w:t>
                  </w:r>
                </w:p>
              </w:tc>
              <w:tc>
                <w:tcPr>
                  <w:tcW w:type="dxa" w:w="3518"/>
                  <w:tcBorders>
                    <w:top w:val="none" w:color="000000" w:sz="4"/>
                    <w:left w:val="none" w:color="000000" w:sz="4"/>
                    <w:bottom w:val="single" w:color="000000" w:sz="4"/>
                    <w:right w:val="single" w:color="000000" w:sz="4"/>
                  </w:tcBorders>
                  <w:vAlign w:val="top"/>
                </w:tcPr>
                <w:p>
                  <w:pPr>
                    <w:jc w:val="left"/>
                  </w:pPr>
                  <w:r>
                    <w:rPr>
                      <w:sz w:val="24"/>
                    </w:rPr>
                    <w:t>服务开展前对长者进行服务评估，由专业人员确认服务对象需求，针对需求制定具体的照顾计划。按人群特殊性对服务对象分类进行为服务对象建立个人档案，</w:t>
                  </w:r>
                  <w:r>
                    <w:rPr>
                      <w:sz w:val="24"/>
                    </w:rPr>
                    <w:t>建档率达</w:t>
                  </w:r>
                  <w:r>
                    <w:rPr>
                      <w:sz w:val="24"/>
                    </w:rPr>
                    <w:t>100%，</w:t>
                  </w:r>
                  <w:r>
                    <w:rPr>
                      <w:sz w:val="24"/>
                    </w:rPr>
                    <w:t>做到有针对性跟踪服务。</w:t>
                  </w:r>
                </w:p>
              </w:tc>
              <w:tc>
                <w:tcPr>
                  <w:tcW w:type="dxa" w:w="591"/>
                  <w:tcBorders>
                    <w:top w:val="none" w:color="000000" w:sz="4"/>
                    <w:left w:val="none" w:color="000000" w:sz="4"/>
                    <w:bottom w:val="single" w:color="000000" w:sz="4"/>
                    <w:right w:val="single" w:color="000000" w:sz="4"/>
                  </w:tcBorders>
                  <w:vAlign w:val="top"/>
                </w:tcPr>
                <w:p>
                  <w:pPr>
                    <w:jc w:val="left"/>
                  </w:pPr>
                </w:p>
              </w:tc>
            </w:tr>
            <w:tr>
              <w:tc>
                <w:tcPr>
                  <w:tcW w:type="dxa" w:w="542"/>
                  <w:tcBorders>
                    <w:top w:val="none" w:color="000000" w:sz="4"/>
                    <w:left w:val="single" w:color="000000" w:sz="4"/>
                    <w:bottom w:val="single" w:color="000000" w:sz="4"/>
                    <w:right w:val="single" w:color="000000" w:sz="4"/>
                  </w:tcBorders>
                  <w:vAlign w:val="top"/>
                </w:tcPr>
                <w:p>
                  <w:pPr>
                    <w:jc w:val="center"/>
                  </w:pPr>
                  <w:r>
                    <w:rPr>
                      <w:sz w:val="24"/>
                    </w:rPr>
                    <w:t>8</w:t>
                  </w:r>
                </w:p>
              </w:tc>
              <w:tc>
                <w:tcPr>
                  <w:tcW w:type="dxa" w:w="926"/>
                  <w:tcBorders>
                    <w:top w:val="none" w:color="000000" w:sz="4"/>
                    <w:left w:val="none" w:color="000000" w:sz="4"/>
                    <w:bottom w:val="single" w:color="000000" w:sz="4"/>
                    <w:right w:val="single" w:color="000000" w:sz="4"/>
                  </w:tcBorders>
                  <w:vAlign w:val="top"/>
                </w:tcPr>
                <w:p>
                  <w:pPr>
                    <w:jc w:val="center"/>
                  </w:pPr>
                  <w:r>
                    <w:rPr>
                      <w:sz w:val="24"/>
                    </w:rPr>
                    <w:t>开展家庭照护培训</w:t>
                  </w:r>
                </w:p>
              </w:tc>
              <w:tc>
                <w:tcPr>
                  <w:tcW w:type="dxa" w:w="3518"/>
                  <w:tcBorders>
                    <w:top w:val="none" w:color="000000" w:sz="4"/>
                    <w:left w:val="none" w:color="000000" w:sz="4"/>
                    <w:bottom w:val="single" w:color="000000" w:sz="4"/>
                    <w:right w:val="single" w:color="000000" w:sz="4"/>
                  </w:tcBorders>
                  <w:vAlign w:val="top"/>
                </w:tcPr>
                <w:p>
                  <w:pPr>
                    <w:jc w:val="left"/>
                  </w:pPr>
                  <w:r>
                    <w:rPr>
                      <w:sz w:val="24"/>
                    </w:rPr>
                    <w:t>通过开展小组或培训活动，结合上门服务和入户走访等方式，为失能老人家庭成员开展服务技能和实操等照护培训工作。</w:t>
                  </w:r>
                </w:p>
              </w:tc>
              <w:tc>
                <w:tcPr>
                  <w:tcW w:type="dxa" w:w="591"/>
                  <w:tcBorders>
                    <w:top w:val="none" w:color="000000" w:sz="4"/>
                    <w:left w:val="none" w:color="000000" w:sz="4"/>
                    <w:bottom w:val="single" w:color="000000" w:sz="4"/>
                    <w:right w:val="single" w:color="000000" w:sz="4"/>
                  </w:tcBorders>
                  <w:vAlign w:val="top"/>
                </w:tcPr>
                <w:p>
                  <w:pPr>
                    <w:jc w:val="left"/>
                  </w:pPr>
                </w:p>
              </w:tc>
            </w:tr>
            <w:tr>
              <w:tc>
                <w:tcPr>
                  <w:tcW w:type="dxa" w:w="542"/>
                  <w:tcBorders>
                    <w:top w:val="none" w:color="000000" w:sz="4"/>
                    <w:left w:val="single" w:color="000000" w:sz="4"/>
                    <w:bottom w:val="single" w:color="000000" w:sz="4"/>
                    <w:right w:val="single" w:color="000000" w:sz="4"/>
                  </w:tcBorders>
                  <w:vAlign w:val="top"/>
                </w:tcPr>
                <w:p>
                  <w:pPr>
                    <w:jc w:val="center"/>
                  </w:pPr>
                  <w:r>
                    <w:rPr>
                      <w:sz w:val="24"/>
                    </w:rPr>
                    <w:t>9</w:t>
                  </w:r>
                </w:p>
              </w:tc>
              <w:tc>
                <w:tcPr>
                  <w:tcW w:type="dxa" w:w="926"/>
                  <w:tcBorders>
                    <w:top w:val="none" w:color="000000" w:sz="4"/>
                    <w:left w:val="none" w:color="000000" w:sz="4"/>
                    <w:bottom w:val="single" w:color="000000" w:sz="4"/>
                    <w:right w:val="single" w:color="000000" w:sz="4"/>
                  </w:tcBorders>
                  <w:vAlign w:val="top"/>
                </w:tcPr>
                <w:p>
                  <w:pPr>
                    <w:jc w:val="center"/>
                  </w:pPr>
                  <w:r>
                    <w:rPr>
                      <w:sz w:val="24"/>
                    </w:rPr>
                    <w:t>开展助餐配餐服务</w:t>
                  </w:r>
                </w:p>
              </w:tc>
              <w:tc>
                <w:tcPr>
                  <w:tcW w:type="dxa" w:w="3518"/>
                  <w:tcBorders>
                    <w:top w:val="none" w:color="000000" w:sz="4"/>
                    <w:left w:val="none" w:color="000000" w:sz="4"/>
                    <w:bottom w:val="single" w:color="000000" w:sz="4"/>
                    <w:right w:val="single" w:color="000000" w:sz="4"/>
                  </w:tcBorders>
                  <w:vAlign w:val="top"/>
                </w:tcPr>
                <w:p>
                  <w:pPr>
                    <w:jc w:val="left"/>
                  </w:pPr>
                  <w:r>
                    <w:rPr>
                      <w:sz w:val="24"/>
                    </w:rPr>
                    <w:t>为周边有就餐需求的长者提供集中用餐或上门送餐服务。工作日均提供配餐服务，提供不少于</w:t>
                  </w:r>
                  <w:r>
                    <w:rPr>
                      <w:sz w:val="24"/>
                    </w:rPr>
                    <w:t>265天的配餐，年服务人次不少于8500人次。</w:t>
                  </w:r>
                </w:p>
              </w:tc>
              <w:tc>
                <w:tcPr>
                  <w:tcW w:type="dxa" w:w="591"/>
                  <w:tcBorders>
                    <w:top w:val="none" w:color="000000" w:sz="4"/>
                    <w:left w:val="none" w:color="000000" w:sz="4"/>
                    <w:bottom w:val="single" w:color="000000" w:sz="4"/>
                    <w:right w:val="single" w:color="000000" w:sz="4"/>
                  </w:tcBorders>
                  <w:vAlign w:val="top"/>
                </w:tcPr>
                <w:p>
                  <w:pPr>
                    <w:jc w:val="left"/>
                  </w:pPr>
                </w:p>
              </w:tc>
            </w:tr>
            <w:tr>
              <w:tc>
                <w:tcPr>
                  <w:tcW w:type="dxa" w:w="542"/>
                  <w:tcBorders>
                    <w:top w:val="none" w:color="000000" w:sz="4"/>
                    <w:left w:val="single" w:color="000000" w:sz="4"/>
                    <w:bottom w:val="single" w:color="000000" w:sz="4"/>
                    <w:right w:val="single" w:color="000000" w:sz="4"/>
                  </w:tcBorders>
                  <w:vAlign w:val="top"/>
                </w:tcPr>
                <w:p>
                  <w:pPr>
                    <w:jc w:val="center"/>
                  </w:pPr>
                  <w:r>
                    <w:rPr>
                      <w:sz w:val="24"/>
                    </w:rPr>
                    <w:t>10</w:t>
                  </w:r>
                </w:p>
              </w:tc>
              <w:tc>
                <w:tcPr>
                  <w:tcW w:type="dxa" w:w="926"/>
                  <w:tcBorders>
                    <w:top w:val="none" w:color="000000" w:sz="4"/>
                    <w:left w:val="none" w:color="000000" w:sz="4"/>
                    <w:bottom w:val="single" w:color="000000" w:sz="4"/>
                    <w:right w:val="single" w:color="000000" w:sz="4"/>
                  </w:tcBorders>
                  <w:vAlign w:val="top"/>
                </w:tcPr>
                <w:p>
                  <w:pPr>
                    <w:jc w:val="center"/>
                  </w:pPr>
                  <w:r>
                    <w:rPr>
                      <w:sz w:val="24"/>
                    </w:rPr>
                    <w:t>开展生活照料服务</w:t>
                  </w:r>
                </w:p>
              </w:tc>
              <w:tc>
                <w:tcPr>
                  <w:tcW w:type="dxa" w:w="3518"/>
                  <w:tcBorders>
                    <w:top w:val="none" w:color="000000" w:sz="4"/>
                    <w:left w:val="none" w:color="000000" w:sz="4"/>
                    <w:bottom w:val="single" w:color="000000" w:sz="4"/>
                    <w:right w:val="single" w:color="000000" w:sz="4"/>
                  </w:tcBorders>
                  <w:vAlign w:val="top"/>
                </w:tcPr>
                <w:p>
                  <w:pPr>
                    <w:jc w:val="left"/>
                  </w:pPr>
                  <w:r>
                    <w:rPr>
                      <w:sz w:val="24"/>
                    </w:rPr>
                    <w:t>1.提供生活照料（通用服务），如助洁、洗涤、陪伴就医、陪同外出等服务。</w:t>
                  </w:r>
                </w:p>
                <w:p>
                  <w:pPr>
                    <w:jc w:val="left"/>
                  </w:pPr>
                  <w:r>
                    <w:rPr>
                      <w:sz w:val="24"/>
                    </w:rPr>
                    <w:t>2.提供生活照料（专业服务），如个人护理、转移护理、助浴服务等专业服务。</w:t>
                  </w:r>
                </w:p>
                <w:p>
                  <w:pPr>
                    <w:jc w:val="left"/>
                  </w:pPr>
                  <w:r>
                    <w:rPr>
                      <w:sz w:val="24"/>
                    </w:rPr>
                    <w:t>每年为不少于</w:t>
                  </w:r>
                  <w:r>
                    <w:rPr>
                      <w:sz w:val="24"/>
                    </w:rPr>
                    <w:t>30名长者提供到户式服务，建立档案，服务人次不少于2400人次，提供不少于10个上门生活照料服务项目。</w:t>
                  </w:r>
                </w:p>
              </w:tc>
              <w:tc>
                <w:tcPr>
                  <w:tcW w:type="dxa" w:w="591"/>
                  <w:tcBorders>
                    <w:top w:val="none" w:color="000000" w:sz="4"/>
                    <w:left w:val="none" w:color="000000" w:sz="4"/>
                    <w:bottom w:val="single" w:color="000000" w:sz="4"/>
                    <w:right w:val="single" w:color="000000" w:sz="4"/>
                  </w:tcBorders>
                  <w:vAlign w:val="top"/>
                </w:tcPr>
                <w:p>
                  <w:pPr>
                    <w:jc w:val="left"/>
                  </w:pPr>
                </w:p>
              </w:tc>
            </w:tr>
            <w:tr>
              <w:tc>
                <w:tcPr>
                  <w:tcW w:type="dxa" w:w="542"/>
                  <w:tcBorders>
                    <w:top w:val="none" w:color="000000" w:sz="4"/>
                    <w:left w:val="single" w:color="000000" w:sz="4"/>
                    <w:bottom w:val="single" w:color="000000" w:sz="4"/>
                    <w:right w:val="single" w:color="000000" w:sz="4"/>
                  </w:tcBorders>
                  <w:vAlign w:val="top"/>
                </w:tcPr>
                <w:p>
                  <w:pPr>
                    <w:jc w:val="center"/>
                  </w:pPr>
                  <w:r>
                    <w:rPr>
                      <w:sz w:val="24"/>
                    </w:rPr>
                    <w:t>11</w:t>
                  </w:r>
                </w:p>
              </w:tc>
              <w:tc>
                <w:tcPr>
                  <w:tcW w:type="dxa" w:w="926"/>
                  <w:tcBorders>
                    <w:top w:val="none" w:color="000000" w:sz="4"/>
                    <w:left w:val="none" w:color="000000" w:sz="4"/>
                    <w:bottom w:val="single" w:color="000000" w:sz="4"/>
                    <w:right w:val="single" w:color="000000" w:sz="4"/>
                  </w:tcBorders>
                  <w:vAlign w:val="top"/>
                </w:tcPr>
                <w:p>
                  <w:pPr>
                    <w:jc w:val="center"/>
                  </w:pPr>
                  <w:r>
                    <w:rPr>
                      <w:sz w:val="24"/>
                    </w:rPr>
                    <w:t>开展定期巡访服务</w:t>
                  </w:r>
                </w:p>
              </w:tc>
              <w:tc>
                <w:tcPr>
                  <w:tcW w:type="dxa" w:w="3518"/>
                  <w:tcBorders>
                    <w:top w:val="none" w:color="000000" w:sz="4"/>
                    <w:left w:val="none" w:color="000000" w:sz="4"/>
                    <w:bottom w:val="single" w:color="000000" w:sz="4"/>
                    <w:right w:val="single" w:color="000000" w:sz="4"/>
                  </w:tcBorders>
                  <w:vAlign w:val="top"/>
                </w:tcPr>
                <w:p>
                  <w:pPr>
                    <w:jc w:val="left"/>
                  </w:pPr>
                  <w:r>
                    <w:rPr>
                      <w:sz w:val="24"/>
                    </w:rPr>
                    <w:t>1.摸排周边社区特殊困难老年人基本情况，建立特殊困难老年人关爱巡访机制和基本信息台账，每月通过电访和入户探访等方式开展关爱巡访服务，月探访率达到100%。</w:t>
                  </w:r>
                </w:p>
                <w:p>
                  <w:pPr>
                    <w:jc w:val="left"/>
                  </w:pPr>
                  <w:r>
                    <w:rPr>
                      <w:sz w:val="24"/>
                    </w:rPr>
                    <w:t>2.在长者生日或传统节日组织开展生日会、节日慰问等活动，每年开展活动不少于6场。</w:t>
                  </w:r>
                </w:p>
              </w:tc>
              <w:tc>
                <w:tcPr>
                  <w:tcW w:type="dxa" w:w="591"/>
                  <w:tcBorders>
                    <w:top w:val="none" w:color="000000" w:sz="4"/>
                    <w:left w:val="none" w:color="000000" w:sz="4"/>
                    <w:bottom w:val="single" w:color="000000" w:sz="4"/>
                    <w:right w:val="single" w:color="000000" w:sz="4"/>
                  </w:tcBorders>
                  <w:vAlign w:val="top"/>
                </w:tcPr>
                <w:p>
                  <w:pPr>
                    <w:jc w:val="left"/>
                  </w:pPr>
                </w:p>
              </w:tc>
            </w:tr>
            <w:tr>
              <w:tc>
                <w:tcPr>
                  <w:tcW w:type="dxa" w:w="542"/>
                  <w:tcBorders>
                    <w:top w:val="none" w:color="000000" w:sz="4"/>
                    <w:left w:val="single" w:color="000000" w:sz="4"/>
                    <w:bottom w:val="single" w:color="000000" w:sz="4"/>
                    <w:right w:val="single" w:color="000000" w:sz="4"/>
                  </w:tcBorders>
                  <w:vAlign w:val="top"/>
                </w:tcPr>
                <w:p>
                  <w:pPr>
                    <w:jc w:val="center"/>
                  </w:pPr>
                  <w:r>
                    <w:rPr>
                      <w:sz w:val="24"/>
                    </w:rPr>
                    <w:t>12</w:t>
                  </w:r>
                </w:p>
              </w:tc>
              <w:tc>
                <w:tcPr>
                  <w:tcW w:type="dxa" w:w="926"/>
                  <w:tcBorders>
                    <w:top w:val="none" w:color="000000" w:sz="4"/>
                    <w:left w:val="none" w:color="000000" w:sz="4"/>
                    <w:bottom w:val="single" w:color="000000" w:sz="4"/>
                    <w:right w:val="single" w:color="000000" w:sz="4"/>
                  </w:tcBorders>
                  <w:vAlign w:val="top"/>
                </w:tcPr>
                <w:p>
                  <w:pPr>
                    <w:jc w:val="center"/>
                  </w:pPr>
                  <w:r>
                    <w:rPr>
                      <w:sz w:val="24"/>
                    </w:rPr>
                    <w:t>开展老年用品服务</w:t>
                  </w:r>
                </w:p>
              </w:tc>
              <w:tc>
                <w:tcPr>
                  <w:tcW w:type="dxa" w:w="3518"/>
                  <w:tcBorders>
                    <w:top w:val="none" w:color="000000" w:sz="4"/>
                    <w:left w:val="none" w:color="000000" w:sz="4"/>
                    <w:bottom w:val="single" w:color="000000" w:sz="4"/>
                    <w:right w:val="single" w:color="000000" w:sz="4"/>
                  </w:tcBorders>
                  <w:vAlign w:val="top"/>
                </w:tcPr>
                <w:p>
                  <w:pPr>
                    <w:jc w:val="left"/>
                  </w:pPr>
                  <w:r>
                    <w:rPr>
                      <w:sz w:val="24"/>
                    </w:rPr>
                    <w:t>展示与介绍轮椅、助行器、生活辅助器具等老年用品；为有需求的长者提供助行器、轮椅、制氧机、代步车等辅具租赁。</w:t>
                  </w:r>
                </w:p>
              </w:tc>
              <w:tc>
                <w:tcPr>
                  <w:tcW w:type="dxa" w:w="591"/>
                  <w:tcBorders>
                    <w:top w:val="none" w:color="000000" w:sz="4"/>
                    <w:left w:val="none" w:color="000000" w:sz="4"/>
                    <w:bottom w:val="single" w:color="000000" w:sz="4"/>
                    <w:right w:val="single" w:color="000000" w:sz="4"/>
                  </w:tcBorders>
                  <w:vAlign w:val="top"/>
                </w:tcPr>
                <w:p>
                  <w:pPr>
                    <w:jc w:val="left"/>
                  </w:pPr>
                </w:p>
              </w:tc>
            </w:tr>
            <w:tr>
              <w:tc>
                <w:tcPr>
                  <w:tcW w:type="dxa" w:w="542"/>
                  <w:tcBorders>
                    <w:top w:val="none" w:color="000000" w:sz="4"/>
                    <w:left w:val="single" w:color="000000" w:sz="4"/>
                    <w:bottom w:val="single" w:color="000000" w:sz="4"/>
                    <w:right w:val="single" w:color="000000" w:sz="4"/>
                  </w:tcBorders>
                  <w:vAlign w:val="top"/>
                </w:tcPr>
                <w:p>
                  <w:pPr>
                    <w:jc w:val="center"/>
                  </w:pPr>
                  <w:r>
                    <w:rPr>
                      <w:sz w:val="24"/>
                    </w:rPr>
                    <w:t>13</w:t>
                  </w:r>
                </w:p>
              </w:tc>
              <w:tc>
                <w:tcPr>
                  <w:tcW w:type="dxa" w:w="926"/>
                  <w:tcBorders>
                    <w:top w:val="none" w:color="000000" w:sz="4"/>
                    <w:left w:val="none" w:color="000000" w:sz="4"/>
                    <w:bottom w:val="single" w:color="000000" w:sz="4"/>
                    <w:right w:val="single" w:color="000000" w:sz="4"/>
                  </w:tcBorders>
                  <w:vAlign w:val="top"/>
                </w:tcPr>
                <w:p>
                  <w:pPr>
                    <w:jc w:val="center"/>
                  </w:pPr>
                  <w:r>
                    <w:rPr>
                      <w:sz w:val="24"/>
                    </w:rPr>
                    <w:t>开展文体教育服务</w:t>
                  </w:r>
                </w:p>
              </w:tc>
              <w:tc>
                <w:tcPr>
                  <w:tcW w:type="dxa" w:w="3518"/>
                  <w:tcBorders>
                    <w:top w:val="none" w:color="000000" w:sz="4"/>
                    <w:left w:val="none" w:color="000000" w:sz="4"/>
                    <w:bottom w:val="single" w:color="000000" w:sz="4"/>
                    <w:right w:val="single" w:color="000000" w:sz="4"/>
                  </w:tcBorders>
                  <w:vAlign w:val="top"/>
                </w:tcPr>
                <w:p>
                  <w:pPr>
                    <w:jc w:val="left"/>
                  </w:pPr>
                  <w:r>
                    <w:rPr>
                      <w:sz w:val="24"/>
                    </w:rPr>
                    <w:t>1.开展丰富多样的娱乐活动，如棋牌、歌舞、打球、书画、阅读、太极、健康操、八段锦、茶话会、生日会、游园会等。</w:t>
                  </w:r>
                </w:p>
                <w:p>
                  <w:pPr>
                    <w:jc w:val="left"/>
                  </w:pPr>
                  <w:r>
                    <w:rPr>
                      <w:sz w:val="24"/>
                    </w:rPr>
                    <w:t>2.开展老年教育活动，老年课堂，如钢琴、摄影、书法绘画、英语、计算机、编织、手工等。</w:t>
                  </w:r>
                </w:p>
                <w:p>
                  <w:pPr>
                    <w:jc w:val="left"/>
                  </w:pPr>
                  <w:r>
                    <w:rPr>
                      <w:sz w:val="24"/>
                    </w:rPr>
                    <w:t>工作日均提供场馆娱乐活动不少于</w:t>
                  </w:r>
                  <w:r>
                    <w:rPr>
                      <w:sz w:val="24"/>
                    </w:rPr>
                    <w:t>265天，提供不少于8000人次的场馆服务；至少开展老年教育课堂4门</w:t>
                  </w:r>
                  <w:r>
                    <w:rPr>
                      <w:sz w:val="24"/>
                    </w:rPr>
                    <w:t>，每门课程不少于</w:t>
                  </w:r>
                  <w:r>
                    <w:rPr>
                      <w:sz w:val="24"/>
                    </w:rPr>
                    <w:t>5节课。</w:t>
                  </w:r>
                </w:p>
              </w:tc>
              <w:tc>
                <w:tcPr>
                  <w:tcW w:type="dxa" w:w="591"/>
                  <w:tcBorders>
                    <w:top w:val="none" w:color="000000" w:sz="4"/>
                    <w:left w:val="none" w:color="000000" w:sz="4"/>
                    <w:bottom w:val="single" w:color="000000" w:sz="4"/>
                    <w:right w:val="single" w:color="000000" w:sz="4"/>
                  </w:tcBorders>
                  <w:vAlign w:val="top"/>
                </w:tcPr>
                <w:p>
                  <w:pPr>
                    <w:jc w:val="left"/>
                  </w:pPr>
                </w:p>
              </w:tc>
            </w:tr>
            <w:tr>
              <w:tc>
                <w:tcPr>
                  <w:tcW w:type="dxa" w:w="542"/>
                  <w:tcBorders>
                    <w:top w:val="none" w:color="000000" w:sz="4"/>
                    <w:left w:val="single" w:color="000000" w:sz="4"/>
                    <w:bottom w:val="single" w:color="000000" w:sz="4"/>
                    <w:right w:val="single" w:color="000000" w:sz="4"/>
                  </w:tcBorders>
                  <w:vAlign w:val="top"/>
                </w:tcPr>
                <w:p>
                  <w:pPr>
                    <w:jc w:val="center"/>
                  </w:pPr>
                  <w:r>
                    <w:rPr>
                      <w:sz w:val="24"/>
                    </w:rPr>
                    <w:t>14</w:t>
                  </w:r>
                </w:p>
              </w:tc>
              <w:tc>
                <w:tcPr>
                  <w:tcW w:type="dxa" w:w="926"/>
                  <w:tcBorders>
                    <w:top w:val="none" w:color="000000" w:sz="4"/>
                    <w:left w:val="none" w:color="000000" w:sz="4"/>
                    <w:bottom w:val="single" w:color="000000" w:sz="4"/>
                    <w:right w:val="single" w:color="000000" w:sz="4"/>
                  </w:tcBorders>
                  <w:vAlign w:val="top"/>
                </w:tcPr>
                <w:p>
                  <w:pPr>
                    <w:jc w:val="center"/>
                  </w:pPr>
                  <w:r>
                    <w:rPr>
                      <w:sz w:val="24"/>
                    </w:rPr>
                    <w:t>开展日间托管服务</w:t>
                  </w:r>
                </w:p>
              </w:tc>
              <w:tc>
                <w:tcPr>
                  <w:tcW w:type="dxa" w:w="3518"/>
                  <w:tcBorders>
                    <w:top w:val="none" w:color="000000" w:sz="4"/>
                    <w:left w:val="none" w:color="000000" w:sz="4"/>
                    <w:bottom w:val="single" w:color="000000" w:sz="4"/>
                    <w:right w:val="single" w:color="000000" w:sz="4"/>
                  </w:tcBorders>
                  <w:vAlign w:val="top"/>
                </w:tcPr>
                <w:p>
                  <w:pPr>
                    <w:jc w:val="left"/>
                  </w:pPr>
                  <w:r>
                    <w:rPr>
                      <w:sz w:val="24"/>
                    </w:rPr>
                    <w:t>为周边长者提供助餐配餐、康复训练、健康管理、文化娱乐、午间休息等日间托管服务。每年托管签约协议不少于</w:t>
                  </w:r>
                  <w:r>
                    <w:rPr>
                      <w:sz w:val="24"/>
                    </w:rPr>
                    <w:t>20人，为入托老人提供白天照护服务。</w:t>
                  </w:r>
                </w:p>
              </w:tc>
              <w:tc>
                <w:tcPr>
                  <w:tcW w:type="dxa" w:w="591"/>
                  <w:tcBorders>
                    <w:top w:val="none" w:color="000000" w:sz="4"/>
                    <w:left w:val="none" w:color="000000" w:sz="4"/>
                    <w:bottom w:val="single" w:color="000000" w:sz="4"/>
                    <w:right w:val="single" w:color="000000" w:sz="4"/>
                  </w:tcBorders>
                  <w:vAlign w:val="top"/>
                </w:tcPr>
                <w:p>
                  <w:pPr>
                    <w:jc w:val="left"/>
                  </w:pPr>
                </w:p>
              </w:tc>
            </w:tr>
            <w:tr>
              <w:tc>
                <w:tcPr>
                  <w:tcW w:type="dxa" w:w="542"/>
                  <w:tcBorders>
                    <w:top w:val="none" w:color="000000" w:sz="4"/>
                    <w:left w:val="single" w:color="000000" w:sz="4"/>
                    <w:bottom w:val="single" w:color="000000" w:sz="4"/>
                    <w:right w:val="single" w:color="000000" w:sz="4"/>
                  </w:tcBorders>
                  <w:vAlign w:val="top"/>
                </w:tcPr>
                <w:p>
                  <w:pPr>
                    <w:jc w:val="center"/>
                  </w:pPr>
                  <w:r>
                    <w:rPr>
                      <w:sz w:val="24"/>
                    </w:rPr>
                    <w:t>15</w:t>
                  </w:r>
                </w:p>
              </w:tc>
              <w:tc>
                <w:tcPr>
                  <w:tcW w:type="dxa" w:w="926"/>
                  <w:vMerge w:val="restart"/>
                  <w:tcBorders>
                    <w:top w:val="none" w:color="000000" w:sz="4"/>
                    <w:left w:val="none" w:color="000000" w:sz="4"/>
                    <w:bottom w:val="none" w:color="000000" w:sz="4"/>
                    <w:right w:val="single" w:color="000000" w:sz="4"/>
                  </w:tcBorders>
                  <w:vAlign w:val="top"/>
                </w:tcPr>
                <w:p>
                  <w:pPr>
                    <w:jc w:val="center"/>
                  </w:pPr>
                  <w:r>
                    <w:rPr>
                      <w:sz w:val="24"/>
                    </w:rPr>
                    <w:t>开展医养康养服务</w:t>
                  </w:r>
                </w:p>
              </w:tc>
              <w:tc>
                <w:tcPr>
                  <w:tcW w:type="dxa" w:w="3518"/>
                  <w:tcBorders>
                    <w:top w:val="none" w:color="000000" w:sz="4"/>
                    <w:left w:val="none" w:color="000000" w:sz="4"/>
                    <w:bottom w:val="single" w:color="000000" w:sz="4"/>
                    <w:right w:val="single" w:color="000000" w:sz="4"/>
                  </w:tcBorders>
                  <w:vAlign w:val="top"/>
                </w:tcPr>
                <w:p>
                  <w:pPr>
                    <w:jc w:val="left"/>
                  </w:pPr>
                  <w:r>
                    <w:rPr>
                      <w:sz w:val="24"/>
                    </w:rPr>
                    <w:t>为老人建立健康档案，定时跟踪健康情况；提供健康咨询、饮食咨询、营养指导、用药指引等服务；提供常规生理指数监测和常规体格检查、家庭病床、医生上门巡诊等服务。每年为不少于</w:t>
                  </w:r>
                  <w:r>
                    <w:rPr>
                      <w:sz w:val="24"/>
                    </w:rPr>
                    <w:t>30名长者提供到户式服务。</w:t>
                  </w:r>
                </w:p>
              </w:tc>
              <w:tc>
                <w:tcPr>
                  <w:tcW w:type="dxa" w:w="591"/>
                  <w:tcBorders>
                    <w:top w:val="none" w:color="000000" w:sz="4"/>
                    <w:left w:val="none" w:color="000000" w:sz="4"/>
                    <w:bottom w:val="single" w:color="000000" w:sz="4"/>
                    <w:right w:val="single" w:color="000000" w:sz="4"/>
                  </w:tcBorders>
                  <w:vAlign w:val="top"/>
                </w:tcPr>
                <w:p>
                  <w:pPr>
                    <w:jc w:val="left"/>
                  </w:pPr>
                </w:p>
              </w:tc>
            </w:tr>
            <w:tr>
              <w:tc>
                <w:tcPr>
                  <w:tcW w:type="dxa" w:w="542"/>
                  <w:tcBorders>
                    <w:top w:val="none" w:color="000000" w:sz="4"/>
                    <w:left w:val="single" w:color="000000" w:sz="4"/>
                    <w:bottom w:val="single" w:color="000000" w:sz="4"/>
                    <w:right w:val="single" w:color="000000" w:sz="4"/>
                  </w:tcBorders>
                  <w:vAlign w:val="top"/>
                </w:tcPr>
                <w:p>
                  <w:pPr>
                    <w:jc w:val="center"/>
                  </w:pPr>
                  <w:r>
                    <w:rPr>
                      <w:sz w:val="24"/>
                    </w:rPr>
                    <w:t>16</w:t>
                  </w:r>
                </w:p>
              </w:tc>
              <w:tc>
                <w:tcPr>
                  <w:tcW w:type="dxa" w:w="926"/>
                  <w:vMerge/>
                  <w:tcBorders>
                    <w:top w:val="none" w:color="000000" w:sz="4"/>
                    <w:left w:val="none" w:color="000000" w:sz="4"/>
                    <w:bottom w:val="none" w:color="000000" w:sz="4"/>
                    <w:right w:val="single" w:color="000000" w:sz="4"/>
                  </w:tcBorders>
                </w:tcPr>
                <w:p/>
              </w:tc>
              <w:tc>
                <w:tcPr>
                  <w:tcW w:type="dxa" w:w="3518"/>
                  <w:tcBorders>
                    <w:top w:val="none" w:color="000000" w:sz="4"/>
                    <w:left w:val="none" w:color="000000" w:sz="4"/>
                    <w:bottom w:val="single" w:color="000000" w:sz="4"/>
                    <w:right w:val="single" w:color="000000" w:sz="4"/>
                  </w:tcBorders>
                  <w:vAlign w:val="top"/>
                </w:tcPr>
                <w:p>
                  <w:pPr>
                    <w:jc w:val="left"/>
                  </w:pPr>
                  <w:r>
                    <w:rPr>
                      <w:sz w:val="24"/>
                    </w:rPr>
                    <w:t>开展健康宣教、保健知识讲座、保健学习、义诊等活动。每周在服务场馆至少开展</w:t>
                  </w:r>
                  <w:r>
                    <w:rPr>
                      <w:sz w:val="24"/>
                    </w:rPr>
                    <w:t>1次医疗保健活动。</w:t>
                  </w:r>
                </w:p>
              </w:tc>
              <w:tc>
                <w:tcPr>
                  <w:tcW w:type="dxa" w:w="591"/>
                  <w:tcBorders>
                    <w:top w:val="none" w:color="000000" w:sz="4"/>
                    <w:left w:val="none" w:color="000000" w:sz="4"/>
                    <w:bottom w:val="single" w:color="000000" w:sz="4"/>
                    <w:right w:val="single" w:color="000000" w:sz="4"/>
                  </w:tcBorders>
                  <w:vAlign w:val="top"/>
                </w:tcPr>
                <w:p>
                  <w:pPr>
                    <w:jc w:val="left"/>
                  </w:pPr>
                </w:p>
              </w:tc>
            </w:tr>
            <w:tr>
              <w:tc>
                <w:tcPr>
                  <w:tcW w:type="dxa" w:w="542"/>
                  <w:tcBorders>
                    <w:top w:val="none" w:color="000000" w:sz="4"/>
                    <w:left w:val="single" w:color="000000" w:sz="4"/>
                    <w:bottom w:val="single" w:color="000000" w:sz="4"/>
                    <w:right w:val="single" w:color="000000" w:sz="4"/>
                  </w:tcBorders>
                  <w:vAlign w:val="top"/>
                </w:tcPr>
                <w:p>
                  <w:pPr>
                    <w:jc w:val="center"/>
                  </w:pPr>
                  <w:r>
                    <w:rPr>
                      <w:sz w:val="24"/>
                    </w:rPr>
                    <w:t>17</w:t>
                  </w:r>
                </w:p>
              </w:tc>
              <w:tc>
                <w:tcPr>
                  <w:tcW w:type="dxa" w:w="926"/>
                  <w:vMerge w:val="restart"/>
                  <w:tcBorders>
                    <w:top w:val="none" w:color="000000" w:sz="4"/>
                    <w:left w:val="none" w:color="000000" w:sz="4"/>
                    <w:bottom w:val="single" w:color="000000" w:sz="4"/>
                    <w:right w:val="single" w:color="000000" w:sz="4"/>
                  </w:tcBorders>
                  <w:vAlign w:val="top"/>
                </w:tcPr>
                <w:p>
                  <w:pPr>
                    <w:jc w:val="center"/>
                  </w:pPr>
                  <w:r>
                    <w:rPr>
                      <w:sz w:val="24"/>
                    </w:rPr>
                    <w:t>开展康复护理服务</w:t>
                  </w:r>
                </w:p>
              </w:tc>
              <w:tc>
                <w:tcPr>
                  <w:tcW w:type="dxa" w:w="3518"/>
                  <w:tcBorders>
                    <w:top w:val="none" w:color="000000" w:sz="4"/>
                    <w:left w:val="none" w:color="000000" w:sz="4"/>
                    <w:bottom w:val="single" w:color="000000" w:sz="4"/>
                    <w:right w:val="single" w:color="000000" w:sz="4"/>
                  </w:tcBorders>
                  <w:vAlign w:val="top"/>
                </w:tcPr>
                <w:p>
                  <w:pPr>
                    <w:jc w:val="left"/>
                  </w:pPr>
                  <w:r>
                    <w:rPr>
                      <w:sz w:val="24"/>
                    </w:rPr>
                    <w:t>对残疾、失能或半失能老年人提供康复咨询、器材锻炼、康复训练和康复理疗等；每年完成不少于</w:t>
                  </w:r>
                  <w:r>
                    <w:rPr>
                      <w:sz w:val="24"/>
                    </w:rPr>
                    <w:t>30名长者的康复训练评估建档和指导。</w:t>
                  </w:r>
                </w:p>
              </w:tc>
              <w:tc>
                <w:tcPr>
                  <w:tcW w:type="dxa" w:w="591"/>
                  <w:tcBorders>
                    <w:top w:val="none" w:color="000000" w:sz="4"/>
                    <w:left w:val="none" w:color="000000" w:sz="4"/>
                    <w:bottom w:val="single" w:color="000000" w:sz="4"/>
                    <w:right w:val="single" w:color="000000" w:sz="4"/>
                  </w:tcBorders>
                  <w:vAlign w:val="top"/>
                </w:tcPr>
                <w:p>
                  <w:pPr>
                    <w:jc w:val="left"/>
                  </w:pPr>
                </w:p>
              </w:tc>
            </w:tr>
            <w:tr>
              <w:tc>
                <w:tcPr>
                  <w:tcW w:type="dxa" w:w="542"/>
                  <w:tcBorders>
                    <w:top w:val="none" w:color="000000" w:sz="4"/>
                    <w:left w:val="single" w:color="000000" w:sz="4"/>
                    <w:bottom w:val="single" w:color="000000" w:sz="4"/>
                    <w:right w:val="single" w:color="000000" w:sz="4"/>
                  </w:tcBorders>
                  <w:vAlign w:val="top"/>
                </w:tcPr>
                <w:p>
                  <w:pPr>
                    <w:jc w:val="center"/>
                  </w:pPr>
                  <w:r>
                    <w:rPr>
                      <w:sz w:val="24"/>
                    </w:rPr>
                    <w:t>18</w:t>
                  </w:r>
                </w:p>
              </w:tc>
              <w:tc>
                <w:tcPr>
                  <w:tcW w:type="dxa" w:w="926"/>
                  <w:vMerge/>
                  <w:tcBorders>
                    <w:top w:val="none" w:color="000000" w:sz="4"/>
                    <w:left w:val="none" w:color="000000" w:sz="4"/>
                    <w:bottom w:val="single" w:color="000000" w:sz="4"/>
                    <w:right w:val="single" w:color="000000" w:sz="4"/>
                  </w:tcBorders>
                </w:tcPr>
                <w:p/>
              </w:tc>
              <w:tc>
                <w:tcPr>
                  <w:tcW w:type="dxa" w:w="3518"/>
                  <w:tcBorders>
                    <w:top w:val="none" w:color="000000" w:sz="4"/>
                    <w:left w:val="none" w:color="000000" w:sz="4"/>
                    <w:bottom w:val="single" w:color="000000" w:sz="4"/>
                    <w:right w:val="single" w:color="000000" w:sz="4"/>
                  </w:tcBorders>
                  <w:vAlign w:val="top"/>
                </w:tcPr>
                <w:p>
                  <w:pPr>
                    <w:jc w:val="left"/>
                  </w:pPr>
                  <w:r>
                    <w:rPr>
                      <w:sz w:val="24"/>
                    </w:rPr>
                    <w:t>开展针灸理疗、穴位针灸、足部理疗、按摩推拿、拔罐刮痧等服务。每周在服务场馆至少开展</w:t>
                  </w:r>
                  <w:r>
                    <w:rPr>
                      <w:sz w:val="24"/>
                    </w:rPr>
                    <w:t>1次康复理疗活动。</w:t>
                  </w:r>
                </w:p>
              </w:tc>
              <w:tc>
                <w:tcPr>
                  <w:tcW w:type="dxa" w:w="591"/>
                  <w:tcBorders>
                    <w:top w:val="none" w:color="000000" w:sz="4"/>
                    <w:left w:val="none" w:color="000000" w:sz="4"/>
                    <w:bottom w:val="single" w:color="000000" w:sz="4"/>
                    <w:right w:val="single" w:color="000000" w:sz="4"/>
                  </w:tcBorders>
                  <w:vAlign w:val="top"/>
                </w:tcPr>
                <w:p>
                  <w:pPr>
                    <w:jc w:val="left"/>
                  </w:pPr>
                </w:p>
              </w:tc>
            </w:tr>
          </w:tbl>
          <w:p>
            <w:pPr>
              <w:ind w:firstLine="480"/>
              <w:jc w:val="both"/>
            </w:pPr>
            <w:r>
              <w:rPr>
                <w:sz w:val="24"/>
              </w:rPr>
              <w:t>备注：</w:t>
            </w:r>
            <w:r>
              <w:rPr>
                <w:sz w:val="24"/>
              </w:rPr>
              <w:t>业务开展过程中，考虑客观情况确需调整相关工时安排计划的，需与服务购买方协商确定后实施。</w:t>
            </w:r>
          </w:p>
          <w:p>
            <w:pPr>
              <w:ind w:firstLine="480"/>
              <w:jc w:val="both"/>
            </w:pPr>
            <w:r>
              <w:rPr>
                <w:sz w:val="24"/>
              </w:rPr>
              <w:t>三、</w:t>
            </w:r>
            <w:r>
              <w:rPr>
                <w:sz w:val="24"/>
              </w:rPr>
              <w:t>承接</w:t>
            </w:r>
            <w:r>
              <w:rPr>
                <w:sz w:val="24"/>
              </w:rPr>
              <w:t>机构和人员要求</w:t>
            </w:r>
          </w:p>
          <w:p>
            <w:pPr>
              <w:ind w:firstLine="643"/>
            </w:pPr>
            <w:r>
              <w:rPr>
                <w:sz w:val="24"/>
              </w:rPr>
              <w:t>（一）</w:t>
            </w:r>
            <w:r>
              <w:rPr>
                <w:sz w:val="24"/>
              </w:rPr>
              <w:t>承接</w:t>
            </w:r>
            <w:r>
              <w:rPr>
                <w:sz w:val="24"/>
              </w:rPr>
              <w:t>机构要求</w:t>
            </w:r>
          </w:p>
          <w:p>
            <w:pPr>
              <w:ind w:firstLine="640"/>
              <w:jc w:val="both"/>
            </w:pPr>
            <w:r>
              <w:rPr>
                <w:sz w:val="24"/>
              </w:rPr>
              <w:t>1.根据《广州市养老服务工作联系会议关于印发&lt;广州市街镇综合养老服务中心（颐康中心）建设提升行动计划&gt;的通知（穗养老联席）〔2020〕5号）承接机构</w:t>
            </w:r>
            <w:r>
              <w:rPr>
                <w:sz w:val="24"/>
              </w:rPr>
              <w:t>须具备资质的养老服务机构，依法成立的业务范围包含</w:t>
            </w:r>
            <w:r>
              <w:rPr>
                <w:sz w:val="24"/>
              </w:rPr>
              <w:t>“养老服务”相关内容的企业、社会组织、事业单位，取得企业营业执照、社会组织登记证书或事业</w:t>
            </w:r>
            <w:r>
              <w:rPr>
                <w:sz w:val="24"/>
              </w:rPr>
              <w:t>单位法人证书。</w:t>
            </w:r>
          </w:p>
          <w:p>
            <w:pPr>
              <w:ind w:firstLine="640"/>
              <w:jc w:val="both"/>
            </w:pPr>
            <w:r>
              <w:rPr>
                <w:sz w:val="24"/>
              </w:rPr>
              <w:t>2</w:t>
            </w:r>
            <w:r>
              <w:rPr>
                <w:sz w:val="24"/>
              </w:rPr>
              <w:t>.</w:t>
            </w:r>
            <w:r>
              <w:rPr>
                <w:sz w:val="24"/>
              </w:rPr>
              <w:t>承接</w:t>
            </w:r>
            <w:r>
              <w:rPr>
                <w:sz w:val="24"/>
              </w:rPr>
              <w:t>机构统一纳入广州市居家养老综合信息服务平台供应商库，接受政府部门的监督管理，按照政府部门的要求开展服务。</w:t>
            </w:r>
          </w:p>
          <w:p>
            <w:pPr>
              <w:ind w:firstLine="480"/>
              <w:jc w:val="both"/>
            </w:pPr>
            <w:r>
              <w:rPr>
                <w:sz w:val="24"/>
              </w:rPr>
              <w:t>3</w:t>
            </w:r>
            <w:r>
              <w:rPr>
                <w:sz w:val="24"/>
              </w:rPr>
              <w:t>.按照合同</w:t>
            </w:r>
            <w:r>
              <w:rPr>
                <w:sz w:val="24"/>
              </w:rPr>
              <w:t>、</w:t>
            </w:r>
            <w:r>
              <w:rPr>
                <w:sz w:val="24"/>
              </w:rPr>
              <w:t>采购文件、应标文件</w:t>
            </w:r>
            <w:r>
              <w:rPr>
                <w:sz w:val="24"/>
              </w:rPr>
              <w:t>等约定提供服务，认真组织实施项目，按时完成项目任务，保证服务数量、质量和效果，主动接受有关部门、服务对象及社会监督，严禁</w:t>
            </w:r>
            <w:r>
              <w:rPr>
                <w:sz w:val="24"/>
              </w:rPr>
              <w:t>承接</w:t>
            </w:r>
            <w:r>
              <w:rPr>
                <w:sz w:val="24"/>
              </w:rPr>
              <w:t>机构将服务项目交由其他服务供应机构实际承担的转包行为。</w:t>
            </w:r>
          </w:p>
          <w:p>
            <w:pPr>
              <w:ind w:firstLine="640"/>
              <w:jc w:val="both"/>
            </w:pPr>
            <w:r>
              <w:rPr>
                <w:sz w:val="24"/>
              </w:rPr>
              <w:t>4</w:t>
            </w:r>
            <w:r>
              <w:rPr>
                <w:sz w:val="24"/>
              </w:rPr>
              <w:t>.</w:t>
            </w:r>
            <w:r>
              <w:rPr>
                <w:sz w:val="24"/>
              </w:rPr>
              <w:t>严格按照</w:t>
            </w:r>
            <w:r>
              <w:rPr>
                <w:sz w:val="24"/>
              </w:rPr>
              <w:t>合同等约定</w:t>
            </w:r>
            <w:r>
              <w:rPr>
                <w:sz w:val="24"/>
              </w:rPr>
              <w:t>使用服务设施，</w:t>
            </w:r>
            <w:r>
              <w:rPr>
                <w:sz w:val="24"/>
              </w:rPr>
              <w:t>严禁擅自改变服务设施功能和用途，</w:t>
            </w:r>
            <w:r>
              <w:rPr>
                <w:sz w:val="24"/>
              </w:rPr>
              <w:t>主动接受政府部门管理和指导，认真落实消防、环保、卫生、安全管理等相关法律法规要求。</w:t>
            </w:r>
          </w:p>
          <w:p>
            <w:pPr>
              <w:ind w:firstLine="640"/>
              <w:jc w:val="both"/>
            </w:pPr>
            <w:r>
              <w:rPr>
                <w:sz w:val="24"/>
              </w:rPr>
              <w:t>5</w:t>
            </w:r>
            <w:r>
              <w:rPr>
                <w:sz w:val="24"/>
              </w:rPr>
              <w:t>.提供医疗服务的应获得医疗机构执业许可证，提供餐饮服务的应获得食品经营许可证。</w:t>
            </w:r>
          </w:p>
          <w:p>
            <w:pPr>
              <w:ind w:firstLine="640"/>
              <w:jc w:val="both"/>
            </w:pPr>
            <w:r>
              <w:rPr>
                <w:sz w:val="24"/>
              </w:rPr>
              <w:t>6</w:t>
            </w:r>
            <w:r>
              <w:rPr>
                <w:sz w:val="24"/>
              </w:rPr>
              <w:t>.能</w:t>
            </w:r>
            <w:r>
              <w:rPr>
                <w:sz w:val="24"/>
              </w:rPr>
              <w:t>有效管理居家社区养老服务相关文件和档案，真实完整记录并及时更新服务对象信息，保护个人信息安全，与服务对象的服务协议签约率及建档率达</w:t>
            </w:r>
            <w:r>
              <w:rPr>
                <w:sz w:val="24"/>
              </w:rPr>
              <w:t>100%。</w:t>
            </w:r>
          </w:p>
          <w:p>
            <w:pPr>
              <w:ind w:firstLine="640"/>
              <w:jc w:val="both"/>
            </w:pPr>
            <w:r>
              <w:rPr>
                <w:sz w:val="24"/>
              </w:rPr>
              <w:t>7</w:t>
            </w:r>
            <w:r>
              <w:rPr>
                <w:sz w:val="24"/>
              </w:rPr>
              <w:t>.具有合理、详细的项目经费使用计划和预算明细，</w:t>
            </w:r>
            <w:r>
              <w:rPr>
                <w:sz w:val="24"/>
              </w:rPr>
              <w:t>严格遵守相关财政财务规定，</w:t>
            </w:r>
            <w:r>
              <w:rPr>
                <w:sz w:val="24"/>
              </w:rPr>
              <w:t>专款专用，独立核算，</w:t>
            </w:r>
            <w:r>
              <w:rPr>
                <w:sz w:val="24"/>
              </w:rPr>
              <w:t>加强自身监督，确保政府购买服务项目资金规范管理和使用，</w:t>
            </w:r>
            <w:r>
              <w:rPr>
                <w:sz w:val="24"/>
              </w:rPr>
              <w:t>每月</w:t>
            </w:r>
            <w:r>
              <w:rPr>
                <w:sz w:val="24"/>
              </w:rPr>
              <w:t>及时向</w:t>
            </w:r>
            <w:r>
              <w:rPr>
                <w:sz w:val="24"/>
              </w:rPr>
              <w:t>广州市南沙区民政局</w:t>
            </w:r>
            <w:r>
              <w:rPr>
                <w:sz w:val="24"/>
              </w:rPr>
              <w:t>提供资金的使用情况、项目执行情况、成果总结等材料</w:t>
            </w:r>
            <w:r>
              <w:rPr>
                <w:sz w:val="24"/>
              </w:rPr>
              <w:t>。</w:t>
            </w:r>
          </w:p>
          <w:p>
            <w:pPr>
              <w:ind w:firstLine="640"/>
              <w:jc w:val="both"/>
            </w:pPr>
            <w:r>
              <w:rPr>
                <w:sz w:val="24"/>
              </w:rPr>
              <w:t>8</w:t>
            </w:r>
            <w:r>
              <w:rPr>
                <w:sz w:val="24"/>
              </w:rPr>
              <w:t>.建立服务风险防范制度，依照有关政策规定为工作人员购买相关保险。</w:t>
            </w:r>
          </w:p>
          <w:p>
            <w:pPr>
              <w:ind w:firstLine="640"/>
              <w:jc w:val="both"/>
            </w:pPr>
            <w:r>
              <w:rPr>
                <w:sz w:val="24"/>
              </w:rPr>
              <w:t>9</w:t>
            </w:r>
            <w:r>
              <w:rPr>
                <w:sz w:val="24"/>
              </w:rPr>
              <w:t>.建立完善的规章制度和工作流程，包括财务、人事、运营、公共安全、卫生、资产、服务等方面的管理制度和应急措施。</w:t>
            </w:r>
          </w:p>
          <w:p>
            <w:pPr>
              <w:ind w:firstLine="640"/>
              <w:jc w:val="both"/>
            </w:pPr>
            <w:r>
              <w:rPr>
                <w:sz w:val="24"/>
              </w:rPr>
              <w:t>10.为确保服务顺利开展，承接机构须为本项目配备全天候专用的工作车辆并提供必要的设施设备，需提供采购发票、购买合同及租赁凭证等相关资料。</w:t>
            </w:r>
          </w:p>
          <w:p>
            <w:pPr>
              <w:ind w:firstLine="640"/>
              <w:jc w:val="both"/>
            </w:pPr>
            <w:r>
              <w:rPr>
                <w:sz w:val="24"/>
              </w:rPr>
              <w:t>11.承接机构对本项目的响应文件应包含机构资质、业绩及项目经验情况、专业服务计划、项目实施计划、人员结构及分工、组织架构等相关内容，并在响应文件中列出目录和对应提供相关材料或凭据。</w:t>
            </w:r>
          </w:p>
          <w:p>
            <w:pPr>
              <w:ind w:firstLine="640"/>
            </w:pPr>
            <w:r>
              <w:rPr>
                <w:sz w:val="24"/>
              </w:rPr>
              <w:t>（二）人员要求</w:t>
            </w:r>
          </w:p>
          <w:p>
            <w:pPr>
              <w:ind w:firstLine="643"/>
              <w:jc w:val="left"/>
            </w:pPr>
            <w:r>
              <w:rPr>
                <w:b/>
                <w:sz w:val="24"/>
              </w:rPr>
              <w:t>★</w:t>
            </w:r>
            <w:r>
              <w:rPr>
                <w:sz w:val="24"/>
              </w:rPr>
              <w:t>1.</w:t>
            </w:r>
            <w:r>
              <w:rPr>
                <w:sz w:val="24"/>
              </w:rPr>
              <w:t>根据《广州市政府购买社区居家养老服务项目指引》等精神，</w:t>
            </w:r>
            <w:r>
              <w:rPr>
                <w:sz w:val="24"/>
              </w:rPr>
              <w:t>服务机构应为本项目配备至少</w:t>
            </w:r>
            <w:r>
              <w:rPr>
                <w:sz w:val="24"/>
              </w:rPr>
              <w:t>16</w:t>
            </w:r>
            <w:r>
              <w:rPr>
                <w:sz w:val="24"/>
              </w:rPr>
              <w:t>名工作人员</w:t>
            </w:r>
            <w:r>
              <w:rPr>
                <w:sz w:val="24"/>
              </w:rPr>
              <w:t>（均需具有本科及以上学历），其中全职工作人员不少于</w:t>
            </w:r>
            <w:r>
              <w:rPr>
                <w:sz w:val="24"/>
              </w:rPr>
              <w:t>14名</w:t>
            </w:r>
            <w:r>
              <w:rPr>
                <w:sz w:val="24"/>
              </w:rPr>
              <w:t>，</w:t>
            </w:r>
            <w:r>
              <w:rPr>
                <w:sz w:val="24"/>
              </w:rPr>
              <w:t>若干兼职工作人员</w:t>
            </w:r>
            <w:r>
              <w:rPr>
                <w:sz w:val="24"/>
              </w:rPr>
              <w:t>，包括执业医师</w:t>
            </w:r>
            <w:r>
              <w:rPr>
                <w:sz w:val="24"/>
              </w:rPr>
              <w:t>2</w:t>
            </w:r>
            <w:r>
              <w:rPr>
                <w:sz w:val="24"/>
              </w:rPr>
              <w:t>名</w:t>
            </w:r>
            <w:r>
              <w:rPr>
                <w:sz w:val="24"/>
              </w:rPr>
              <w:t>（</w:t>
            </w:r>
            <w:r>
              <w:rPr>
                <w:sz w:val="24"/>
              </w:rPr>
              <w:t>可兼职</w:t>
            </w:r>
            <w:r>
              <w:rPr>
                <w:sz w:val="24"/>
              </w:rPr>
              <w:t>）</w:t>
            </w:r>
            <w:r>
              <w:rPr>
                <w:sz w:val="24"/>
              </w:rPr>
              <w:t>，执业护士</w:t>
            </w:r>
            <w:r>
              <w:rPr>
                <w:sz w:val="24"/>
              </w:rPr>
              <w:t>2</w:t>
            </w:r>
            <w:r>
              <w:rPr>
                <w:sz w:val="24"/>
              </w:rPr>
              <w:t>名，康复治疗师</w:t>
            </w:r>
            <w:r>
              <w:rPr>
                <w:sz w:val="24"/>
              </w:rPr>
              <w:t>2</w:t>
            </w:r>
            <w:r>
              <w:rPr>
                <w:sz w:val="24"/>
              </w:rPr>
              <w:t>名，社会工作师（含助理级）</w:t>
            </w:r>
            <w:r>
              <w:rPr>
                <w:sz w:val="24"/>
              </w:rPr>
              <w:t>4</w:t>
            </w:r>
            <w:r>
              <w:rPr>
                <w:sz w:val="24"/>
              </w:rPr>
              <w:t>名，养老护理员</w:t>
            </w:r>
            <w:r>
              <w:rPr>
                <w:sz w:val="24"/>
              </w:rPr>
              <w:t>1</w:t>
            </w:r>
            <w:r>
              <w:rPr>
                <w:sz w:val="24"/>
              </w:rPr>
              <w:t>名</w:t>
            </w:r>
            <w:r>
              <w:rPr>
                <w:sz w:val="24"/>
              </w:rPr>
              <w:t>，其他全职人员</w:t>
            </w:r>
            <w:r>
              <w:rPr>
                <w:sz w:val="24"/>
              </w:rPr>
              <w:t>5名</w:t>
            </w:r>
            <w:r>
              <w:rPr>
                <w:sz w:val="24"/>
              </w:rPr>
              <w:t>。其中，</w:t>
            </w:r>
            <w:r>
              <w:rPr>
                <w:sz w:val="24"/>
              </w:rPr>
              <w:t>指定一名为全职</w:t>
            </w:r>
            <w:r>
              <w:rPr>
                <w:sz w:val="24"/>
              </w:rPr>
              <w:t>项目负责人</w:t>
            </w:r>
            <w:r>
              <w:rPr>
                <w:sz w:val="24"/>
              </w:rPr>
              <w:t>，</w:t>
            </w:r>
            <w:r>
              <w:rPr>
                <w:sz w:val="24"/>
              </w:rPr>
              <w:t>须</w:t>
            </w:r>
            <w:r>
              <w:rPr>
                <w:sz w:val="24"/>
              </w:rPr>
              <w:t>具有高校本科</w:t>
            </w:r>
            <w:r>
              <w:rPr>
                <w:sz w:val="24"/>
              </w:rPr>
              <w:t>及</w:t>
            </w:r>
            <w:r>
              <w:rPr>
                <w:sz w:val="24"/>
              </w:rPr>
              <w:t>以上学历，持社工或相关专业资格中级以上证书，具有</w:t>
            </w:r>
            <w:r>
              <w:rPr>
                <w:sz w:val="24"/>
              </w:rPr>
              <w:t>5年以上养老服务管理工作经验</w:t>
            </w:r>
            <w:r>
              <w:rPr>
                <w:sz w:val="24"/>
              </w:rPr>
              <w:t>。</w:t>
            </w:r>
          </w:p>
          <w:p>
            <w:pPr>
              <w:ind w:firstLine="643"/>
              <w:jc w:val="left"/>
            </w:pPr>
            <w:r>
              <w:rPr>
                <w:sz w:val="24"/>
              </w:rPr>
              <w:t>服务机构应根据本项目工作内容，组建运营管理组和养老服务组。</w:t>
            </w:r>
            <w:r>
              <w:rPr>
                <w:b/>
                <w:sz w:val="24"/>
              </w:rPr>
              <w:t>运营管理组</w:t>
            </w:r>
            <w:r>
              <w:rPr>
                <w:sz w:val="24"/>
              </w:rPr>
              <w:t>需包含</w:t>
            </w:r>
            <w:r>
              <w:rPr>
                <w:sz w:val="24"/>
              </w:rPr>
              <w:t>社会工作师（含助理级）</w:t>
            </w:r>
            <w:r>
              <w:rPr>
                <w:sz w:val="24"/>
              </w:rPr>
              <w:t>2名，执业护士1名，其他全职人员3名；其中，指定一名为项目主管，须具有高校本科</w:t>
            </w:r>
            <w:r>
              <w:rPr>
                <w:sz w:val="24"/>
              </w:rPr>
              <w:t>及</w:t>
            </w:r>
            <w:r>
              <w:rPr>
                <w:sz w:val="24"/>
              </w:rPr>
              <w:t>以上学历，持社工或相关专业资格证书，具有</w:t>
            </w:r>
            <w:r>
              <w:rPr>
                <w:sz w:val="24"/>
              </w:rPr>
              <w:t>2年以上养老服务管理工作经验。</w:t>
            </w:r>
            <w:r>
              <w:rPr>
                <w:b/>
                <w:sz w:val="24"/>
              </w:rPr>
              <w:t>养老服务组</w:t>
            </w:r>
            <w:r>
              <w:rPr>
                <w:sz w:val="24"/>
              </w:rPr>
              <w:t>需包含执业医师（可兼职）</w:t>
            </w:r>
            <w:r>
              <w:rPr>
                <w:sz w:val="24"/>
              </w:rPr>
              <w:t>2名，执业护士1名，康复治疗师2名，养老护理员1名，社会工作师（含助理级）1名，其他全职人员2名；其中，指定一名为项目主管，须具有高校本科</w:t>
            </w:r>
            <w:r>
              <w:rPr>
                <w:sz w:val="24"/>
              </w:rPr>
              <w:t>及</w:t>
            </w:r>
            <w:r>
              <w:rPr>
                <w:sz w:val="24"/>
              </w:rPr>
              <w:t>以上学历，持社工或相关专业资格证书，具有</w:t>
            </w:r>
            <w:r>
              <w:rPr>
                <w:sz w:val="24"/>
              </w:rPr>
              <w:t>2年以上养老服务管理工作经验。</w:t>
            </w:r>
            <w:r>
              <w:rPr>
                <w:sz w:val="24"/>
              </w:rPr>
              <w:t>执业医生和执业护士须持有医护相关专业技术证书。社会工作师（含助理级）须持有初级</w:t>
            </w:r>
            <w:r>
              <w:rPr>
                <w:sz w:val="24"/>
              </w:rPr>
              <w:t>以上</w:t>
            </w:r>
            <w:r>
              <w:rPr>
                <w:sz w:val="24"/>
              </w:rPr>
              <w:t>社工证书。养老护理员须持有养老护理相关专业技术证书。</w:t>
            </w:r>
            <w:r>
              <w:rPr>
                <w:sz w:val="24"/>
              </w:rPr>
              <w:t>所有人员均须熟悉和掌握关于市、区关于居家社区养老服务的各项政策规定，并能为镇街开展居家社区养老各项服务提供专业指导与咨询答疑。</w:t>
            </w:r>
          </w:p>
          <w:p>
            <w:pPr>
              <w:ind w:firstLine="643"/>
              <w:jc w:val="left"/>
            </w:pPr>
            <w:r>
              <w:rPr>
                <w:sz w:val="24"/>
              </w:rPr>
              <w:t>承接机构承诺在服务期内必须保证投入的工作人员数量不能减少，服务期中如有人事变动问题，须提前征得广州市南沙区民政局同意并向广州市南沙区民政局报备，保证能及时配齐报价</w:t>
            </w:r>
            <w:r>
              <w:rPr>
                <w:sz w:val="24"/>
              </w:rPr>
              <w:t>时承诺投入的人员。项目负责人和项目主管人选须经广州市南沙区民政局审核通过后方能上岗。若在项目开展中，需更换项目负责人的，应提前</w:t>
            </w:r>
            <w:r>
              <w:rPr>
                <w:sz w:val="24"/>
              </w:rPr>
              <w:t>1个月书面告知广州市南沙区民政局并征得广州市南沙区民政局同意，项目团队人员更换须向广州市南沙区民政局报备同意后方可录用。承接机构若未按要求为本项目配齐具有资质的工作人员，按照空缺的人员数量和月数扣除相应费用（根据《广州市政府购买社区居家养老服务项目指引》中相关工作人员经费标准规定进行扣除）。承接机构及其工作人员开展业务或提供专业服务咨询答疑，均须遵守有关法律法规和专业技术规范的要求，确保合法性及专业性，杜绝安全风险及隐患，保障服务对象的相关合法权益</w:t>
            </w:r>
            <w:r>
              <w:rPr>
                <w:sz w:val="24"/>
              </w:rPr>
              <w:t>。</w:t>
            </w:r>
            <w:r>
              <w:rPr>
                <w:b/>
                <w:sz w:val="24"/>
              </w:rPr>
              <w:t>（需在投标文件中提供承诺函）</w:t>
            </w:r>
          </w:p>
          <w:p>
            <w:pPr>
              <w:ind w:firstLine="640"/>
              <w:jc w:val="both"/>
            </w:pPr>
            <w:r>
              <w:rPr>
                <w:sz w:val="24"/>
              </w:rPr>
              <w:t>（</w:t>
            </w:r>
            <w:r>
              <w:rPr>
                <w:sz w:val="24"/>
              </w:rPr>
              <w:t>1）提供上门生活照料服务的，保障上门服务人员与服务对象的比例不低于1：10；</w:t>
            </w:r>
          </w:p>
          <w:p>
            <w:pPr>
              <w:ind w:firstLine="640"/>
              <w:jc w:val="both"/>
            </w:pPr>
            <w:r>
              <w:rPr>
                <w:sz w:val="24"/>
              </w:rPr>
              <w:t>（</w:t>
            </w:r>
            <w:r>
              <w:rPr>
                <w:sz w:val="24"/>
              </w:rPr>
              <w:t>2）提供康复护理服务的，护理人员与服务对象的配备比例不低于1：10，护理人员应具有护理、康复治疗专业技术教育背景或从业资格；</w:t>
            </w:r>
          </w:p>
          <w:p>
            <w:pPr>
              <w:ind w:firstLine="640"/>
              <w:jc w:val="both"/>
            </w:pPr>
            <w:r>
              <w:rPr>
                <w:sz w:val="24"/>
              </w:rPr>
              <w:t>（</w:t>
            </w:r>
            <w:r>
              <w:rPr>
                <w:sz w:val="24"/>
              </w:rPr>
              <w:t>3）</w:t>
            </w:r>
            <w:r>
              <w:rPr>
                <w:sz w:val="24"/>
              </w:rPr>
              <w:t>提供医疗保健类服务的，应配备执业医生、执业护士、康复治疗师、技师等专业人员；</w:t>
            </w:r>
          </w:p>
          <w:p>
            <w:pPr>
              <w:ind w:firstLine="640"/>
              <w:jc w:val="both"/>
            </w:pPr>
            <w:r>
              <w:rPr>
                <w:sz w:val="24"/>
              </w:rPr>
              <w:t>（</w:t>
            </w:r>
            <w:r>
              <w:rPr>
                <w:sz w:val="24"/>
              </w:rPr>
              <w:t>4）承接</w:t>
            </w:r>
            <w:r>
              <w:rPr>
                <w:sz w:val="24"/>
              </w:rPr>
              <w:t>机构应保障服务人员上岗前接受不少于</w:t>
            </w:r>
            <w:r>
              <w:rPr>
                <w:sz w:val="24"/>
              </w:rPr>
              <w:t>10学时的岗前培训。</w:t>
            </w:r>
          </w:p>
          <w:p>
            <w:pPr>
              <w:ind w:firstLine="640"/>
              <w:jc w:val="both"/>
            </w:pPr>
            <w:r>
              <w:rPr>
                <w:sz w:val="24"/>
              </w:rPr>
              <w:t>2.应配备具有财务专业教育背景或持有财会职业资格证书的兼职人员管理财务。</w:t>
            </w:r>
          </w:p>
          <w:p>
            <w:pPr>
              <w:ind w:firstLine="640"/>
              <w:jc w:val="both"/>
            </w:pPr>
            <w:r>
              <w:rPr>
                <w:sz w:val="24"/>
              </w:rPr>
              <w:t>3.承接机构应保证工作人员接受符合相关政策规定的岗前培训和在岗培训。</w:t>
            </w:r>
          </w:p>
          <w:p>
            <w:pPr>
              <w:ind w:firstLine="640"/>
              <w:jc w:val="both"/>
            </w:pPr>
            <w:r>
              <w:rPr>
                <w:sz w:val="24"/>
              </w:rPr>
              <w:t>4.承接机构须为本项目配齐具有资质并相对稳定的工作人员，项目期间人员变动不能超过8人次，其中项目负责人和项目主管不能超过2人次。若项目开展期间人员流动超过8人次或项目</w:t>
            </w:r>
            <w:r>
              <w:rPr>
                <w:sz w:val="24"/>
              </w:rPr>
              <w:t>开展一个月后仍未配齐具有资质的工作人员，承接机构应当承担违约责任（具体以合同约定为准）。</w:t>
            </w:r>
          </w:p>
          <w:p>
            <w:pPr>
              <w:ind w:firstLine="643"/>
              <w:jc w:val="both"/>
            </w:pPr>
            <w:r>
              <w:rPr>
                <w:sz w:val="24"/>
              </w:rPr>
              <w:t>5.承接</w:t>
            </w:r>
            <w:r>
              <w:rPr>
                <w:sz w:val="24"/>
              </w:rPr>
              <w:t>机构根据项目需要，需安排</w:t>
            </w:r>
            <w:r>
              <w:rPr>
                <w:sz w:val="24"/>
              </w:rPr>
              <w:t>1-2</w:t>
            </w:r>
            <w:r>
              <w:rPr>
                <w:sz w:val="24"/>
              </w:rPr>
              <w:t>名工作人员</w:t>
            </w:r>
            <w:r>
              <w:rPr>
                <w:sz w:val="24"/>
              </w:rPr>
              <w:t>，</w:t>
            </w:r>
            <w:r>
              <w:rPr>
                <w:sz w:val="24"/>
              </w:rPr>
              <w:t>到服务购买方场所</w:t>
            </w:r>
            <w:r>
              <w:rPr>
                <w:sz w:val="24"/>
              </w:rPr>
              <w:t>对接和具体</w:t>
            </w:r>
            <w:r>
              <w:rPr>
                <w:sz w:val="24"/>
              </w:rPr>
              <w:t>跟进项目有关专项工作，人员资质及工作经验要求需与服务购买方协商达成一致意见，人员薪酬待遇报服务购买方知悉。服务机构确需安排工作人员驻场跟进项目时，服务购买方应给予支持和协助提供办公场地等办公条件。</w:t>
            </w:r>
          </w:p>
          <w:p>
            <w:pPr>
              <w:ind w:firstLine="643"/>
              <w:jc w:val="both"/>
            </w:pPr>
            <w:r>
              <w:rPr>
                <w:sz w:val="24"/>
              </w:rPr>
              <w:t>（三）服务要求</w:t>
            </w:r>
          </w:p>
          <w:p>
            <w:pPr>
              <w:ind w:firstLine="640"/>
              <w:jc w:val="both"/>
            </w:pPr>
            <w:r>
              <w:rPr>
                <w:sz w:val="24"/>
              </w:rPr>
              <w:t>1.严格按照《广州市居家社区养老服务管理办法》和广州市地方标准《社区居家养老服务规范》</w:t>
            </w:r>
            <w:r>
              <w:rPr>
                <w:sz w:val="24"/>
              </w:rPr>
              <w:t>等相关文件</w:t>
            </w:r>
            <w:r>
              <w:rPr>
                <w:sz w:val="24"/>
              </w:rPr>
              <w:t>的要求开展服务。</w:t>
            </w:r>
          </w:p>
          <w:p>
            <w:pPr>
              <w:ind w:firstLine="480"/>
              <w:jc w:val="both"/>
            </w:pPr>
            <w:r>
              <w:rPr>
                <w:sz w:val="24"/>
              </w:rPr>
              <w:t>2.</w:t>
            </w:r>
            <w:r>
              <w:rPr>
                <w:sz w:val="24"/>
              </w:rPr>
              <w:t>对辖区内</w:t>
            </w:r>
            <w:r>
              <w:rPr>
                <w:sz w:val="24"/>
              </w:rPr>
              <w:t>各街道（镇）居家养老综合服务平台</w:t>
            </w:r>
            <w:r>
              <w:rPr>
                <w:sz w:val="24"/>
              </w:rPr>
              <w:t>、</w:t>
            </w:r>
            <w:r>
              <w:rPr>
                <w:sz w:val="24"/>
              </w:rPr>
              <w:t>各街道（镇）</w:t>
            </w:r>
            <w:r>
              <w:rPr>
                <w:sz w:val="24"/>
              </w:rPr>
              <w:t>综合养老服务中心、为南沙区综合养老服务中心周边村（居）的老年人提供服务，</w:t>
            </w:r>
            <w:r>
              <w:rPr>
                <w:sz w:val="24"/>
              </w:rPr>
              <w:t>覆盖率须达到</w:t>
            </w:r>
            <w:r>
              <w:rPr>
                <w:sz w:val="24"/>
              </w:rPr>
              <w:t>100%。</w:t>
            </w:r>
          </w:p>
          <w:p>
            <w:pPr>
              <w:ind w:firstLine="640"/>
            </w:pPr>
            <w:r>
              <w:rPr>
                <w:sz w:val="24"/>
              </w:rPr>
              <w:t>3.能够及时跟进街道（镇）居家养老综合服务平台</w:t>
            </w:r>
            <w:r>
              <w:rPr>
                <w:sz w:val="24"/>
              </w:rPr>
              <w:t>、</w:t>
            </w:r>
            <w:r>
              <w:rPr>
                <w:sz w:val="24"/>
              </w:rPr>
              <w:t>街道（镇）综合养老服务中心</w:t>
            </w:r>
            <w:r>
              <w:rPr>
                <w:sz w:val="24"/>
              </w:rPr>
              <w:t>的工作开展情况，做好相应的督查指导，对街道（镇）开展服务的情况实现</w:t>
            </w:r>
            <w:r>
              <w:rPr>
                <w:sz w:val="24"/>
              </w:rPr>
              <w:t>“一街（镇）一档”。入档材料包括街道（镇）的平台</w:t>
            </w:r>
            <w:r>
              <w:rPr>
                <w:sz w:val="24"/>
              </w:rPr>
              <w:t>及街道（镇）综合养老服务中心</w:t>
            </w:r>
            <w:r>
              <w:rPr>
                <w:sz w:val="24"/>
              </w:rPr>
              <w:t>信息、服务设施台账、服务对象台账、相关督导检查记录等。</w:t>
            </w:r>
          </w:p>
          <w:p>
            <w:pPr>
              <w:ind w:firstLine="640"/>
            </w:pPr>
            <w:r>
              <w:rPr>
                <w:sz w:val="24"/>
              </w:rPr>
              <w:t>4.为服务对象制定详细具体的服务方案，并做好服务记录。</w:t>
            </w:r>
          </w:p>
          <w:p>
            <w:pPr>
              <w:ind w:firstLine="640"/>
            </w:pPr>
            <w:r>
              <w:rPr>
                <w:sz w:val="24"/>
              </w:rPr>
              <w:t>5.服务项目任务指标完成率达到100%，服务对象满意率达到80%以上。</w:t>
            </w:r>
          </w:p>
          <w:p>
            <w:pPr>
              <w:ind w:firstLine="640"/>
            </w:pPr>
            <w:r>
              <w:rPr>
                <w:sz w:val="24"/>
              </w:rPr>
              <w:t>6.接受市、区民政部门的监督指导，发现问题逐项进行整改，两次整改后仍不符合相关规范要求的，视情节严重予以扣除一定比例经费作为违约金，拒不整改或达两次以上整改后仍不符合相关规范要求的作解除合同处理（具体以合同约定为准）。</w:t>
            </w:r>
          </w:p>
          <w:p>
            <w:pPr>
              <w:ind w:firstLine="643"/>
              <w:jc w:val="both"/>
            </w:pPr>
            <w:r>
              <w:rPr>
                <w:sz w:val="24"/>
              </w:rPr>
              <w:t>（四）服务收费</w:t>
            </w:r>
          </w:p>
          <w:p>
            <w:pPr>
              <w:ind w:firstLine="640"/>
            </w:pPr>
            <w:r>
              <w:rPr>
                <w:sz w:val="24"/>
              </w:rPr>
              <w:t>承接机构开展的收费项目，服务项目收费按照《广州市社区居家养老服务项目清单与指导参考价（试行）》（穗居家养老服务指导中心办</w:t>
            </w:r>
            <w:r>
              <w:rPr>
                <w:sz w:val="24"/>
              </w:rPr>
              <w:t>〔</w:t>
            </w:r>
            <w:r>
              <w:rPr>
                <w:sz w:val="24"/>
              </w:rPr>
              <w:t>20</w:t>
            </w:r>
            <w:r>
              <w:rPr>
                <w:sz w:val="24"/>
              </w:rPr>
              <w:t>18</w:t>
            </w:r>
            <w:r>
              <w:rPr>
                <w:sz w:val="24"/>
              </w:rPr>
              <w:t>〕</w:t>
            </w:r>
            <w:r>
              <w:rPr>
                <w:sz w:val="24"/>
              </w:rPr>
              <w:t>6号</w:t>
            </w:r>
            <w:r>
              <w:rPr>
                <w:sz w:val="24"/>
              </w:rPr>
              <w:t>）的要求执行，由广州市南沙区民政局与承接机构商定并进行公示。</w:t>
            </w:r>
          </w:p>
          <w:p>
            <w:pPr>
              <w:ind w:firstLine="480"/>
              <w:jc w:val="both"/>
            </w:pPr>
            <w:r>
              <w:rPr>
                <w:sz w:val="24"/>
              </w:rPr>
              <w:t>四、保密要求</w:t>
            </w:r>
          </w:p>
          <w:p>
            <w:pPr>
              <w:ind w:firstLine="480"/>
              <w:jc w:val="both"/>
            </w:pPr>
            <w:r>
              <w:rPr>
                <w:sz w:val="24"/>
              </w:rPr>
              <w:t>承接</w:t>
            </w:r>
            <w:r>
              <w:rPr>
                <w:sz w:val="24"/>
              </w:rPr>
              <w:t>机构须对本项目涉及服务对象的个人相关信息进行保密，未经服务对象或其法定监护人书面许可，不得对外披露，不得以任何形式提供给第三方，不得在参与本项目工作之外使用这些保密信息。</w:t>
            </w:r>
          </w:p>
          <w:p>
            <w:pPr>
              <w:ind w:firstLine="480"/>
              <w:jc w:val="both"/>
            </w:pPr>
            <w:r>
              <w:rPr>
                <w:sz w:val="24"/>
              </w:rPr>
              <w:t>承接机构在工作中形成的服务对象信息及相关资料未经广州市南沙区民政局同意不得擅自用于任何非本项目业务之外的其他用途，若出现批量泄露老人信息等情况造成不良影响的，一经查实，解除项目合同，追回项目经费并依法追究相关责任。</w:t>
            </w:r>
          </w:p>
          <w:p>
            <w:pPr>
              <w:ind w:firstLine="480"/>
              <w:jc w:val="both"/>
            </w:pPr>
            <w:r>
              <w:rPr>
                <w:sz w:val="24"/>
              </w:rPr>
              <w:t>承接</w:t>
            </w:r>
            <w:r>
              <w:rPr>
                <w:sz w:val="24"/>
              </w:rPr>
              <w:t>机构在本项目终止后不得保留以任何形式存储的评估对象的任何信息数据，不得为其他的单位（包括自办单位）或项目</w:t>
            </w:r>
            <w:r>
              <w:rPr>
                <w:sz w:val="24"/>
              </w:rPr>
              <w:t>提供相关数据信息，一经发现，将依法追究相关法律责任</w:t>
            </w:r>
            <w:r>
              <w:rPr>
                <w:sz w:val="24"/>
              </w:rPr>
              <w:t>。</w:t>
            </w:r>
          </w:p>
          <w:p>
            <w:pPr>
              <w:ind w:firstLine="480"/>
              <w:jc w:val="both"/>
            </w:pPr>
            <w:r>
              <w:rPr>
                <w:sz w:val="24"/>
              </w:rPr>
              <w:t>五、服务评估</w:t>
            </w:r>
          </w:p>
          <w:p>
            <w:pPr>
              <w:ind w:firstLine="480"/>
              <w:jc w:val="both"/>
            </w:pPr>
            <w:r>
              <w:rPr>
                <w:sz w:val="24"/>
              </w:rPr>
              <w:t>承接机构运营期满后需向广州市南沙区民政局提交自评材料，其中非居家社区养老服务项目的内容，由广州市南沙区民政局通过现场观察、资料查阅、服务回访等方式进行项目验收；居家社区养老服务项目内容，由民政部门组织开展评估。</w:t>
            </w:r>
          </w:p>
          <w:p>
            <w:pPr>
              <w:ind w:firstLine="480"/>
              <w:jc w:val="both"/>
            </w:pPr>
            <w:r>
              <w:rPr>
                <w:sz w:val="24"/>
              </w:rPr>
              <w:t>六、付款方式</w:t>
            </w:r>
          </w:p>
          <w:p>
            <w:pPr>
              <w:ind w:firstLine="480"/>
              <w:jc w:val="both"/>
            </w:pPr>
            <w:r>
              <w:rPr>
                <w:sz w:val="24"/>
              </w:rPr>
              <w:t>（一）运营经费</w:t>
            </w:r>
          </w:p>
          <w:p>
            <w:pPr>
              <w:ind w:firstLine="480"/>
              <w:jc w:val="both"/>
            </w:pPr>
            <w:r>
              <w:rPr>
                <w:sz w:val="24"/>
              </w:rPr>
              <w:t>本项目</w:t>
            </w:r>
            <w:r>
              <w:rPr>
                <w:sz w:val="24"/>
              </w:rPr>
              <w:t>运营</w:t>
            </w:r>
            <w:r>
              <w:rPr>
                <w:sz w:val="24"/>
              </w:rPr>
              <w:t>经费</w:t>
            </w:r>
            <w:r>
              <w:rPr>
                <w:sz w:val="24"/>
              </w:rPr>
              <w:t>最高限价为人民币</w:t>
            </w:r>
            <w:r>
              <w:rPr>
                <w:sz w:val="24"/>
              </w:rPr>
              <w:t>120</w:t>
            </w:r>
            <w:r>
              <w:rPr>
                <w:sz w:val="24"/>
              </w:rPr>
              <w:t>万元，项目</w:t>
            </w:r>
            <w:r>
              <w:rPr>
                <w:sz w:val="24"/>
              </w:rPr>
              <w:t>服务期为</w:t>
            </w:r>
            <w:r>
              <w:rPr>
                <w:sz w:val="24"/>
              </w:rPr>
              <w:t>1年</w:t>
            </w:r>
            <w:r>
              <w:rPr>
                <w:sz w:val="24"/>
              </w:rPr>
              <w:t>，含服务经费、专业支出经费、办公经费及由项目开展而产生的其他费用。项目</w:t>
            </w:r>
            <w:r>
              <w:rPr>
                <w:sz w:val="24"/>
              </w:rPr>
              <w:t>运营</w:t>
            </w:r>
            <w:r>
              <w:rPr>
                <w:sz w:val="24"/>
              </w:rPr>
              <w:t>经费</w:t>
            </w:r>
            <w:r>
              <w:rPr>
                <w:sz w:val="24"/>
              </w:rPr>
              <w:t>的拨付</w:t>
            </w:r>
            <w:r>
              <w:rPr>
                <w:sz w:val="24"/>
              </w:rPr>
              <w:t>，具体以</w:t>
            </w:r>
            <w:r>
              <w:rPr>
                <w:sz w:val="24"/>
              </w:rPr>
              <w:t>双方</w:t>
            </w:r>
            <w:r>
              <w:rPr>
                <w:sz w:val="24"/>
              </w:rPr>
              <w:t>合同约定为准。</w:t>
            </w:r>
          </w:p>
          <w:p>
            <w:pPr>
              <w:jc w:val="both"/>
            </w:pPr>
            <w:r>
              <w:rPr>
                <w:sz w:val="21"/>
              </w:rPr>
              <w:t xml:space="preserve">    </w:t>
            </w:r>
            <w:r>
              <w:rPr>
                <w:sz w:val="24"/>
              </w:rPr>
              <w:t>（二）项目服务奖励</w:t>
            </w:r>
          </w:p>
          <w:p>
            <w:pPr>
              <w:ind w:firstLine="480"/>
              <w:jc w:val="both"/>
            </w:pPr>
            <w:r>
              <w:rPr>
                <w:sz w:val="24"/>
              </w:rPr>
              <w:t>本项目运营满</w:t>
            </w:r>
            <w:r>
              <w:rPr>
                <w:sz w:val="24"/>
              </w:rPr>
              <w:t>12个月且经服务评估为合格及以上等级的，分别给予优秀等级80万元、良好等级60万元、合格等级40万元的服务奖励。</w:t>
            </w:r>
            <w:r>
              <w:rPr>
                <w:sz w:val="24"/>
              </w:rPr>
              <w:t>项目</w:t>
            </w:r>
            <w:r>
              <w:rPr>
                <w:sz w:val="24"/>
              </w:rPr>
              <w:t>服务奖</w:t>
            </w:r>
            <w:r>
              <w:rPr>
                <w:sz w:val="24"/>
              </w:rPr>
              <w:t>励</w:t>
            </w:r>
            <w:r>
              <w:rPr>
                <w:sz w:val="24"/>
              </w:rPr>
              <w:t>的拨付</w:t>
            </w:r>
            <w:r>
              <w:rPr>
                <w:sz w:val="24"/>
              </w:rPr>
              <w:t>，具体以</w:t>
            </w:r>
            <w:r>
              <w:rPr>
                <w:sz w:val="24"/>
              </w:rPr>
              <w:t>双方</w:t>
            </w:r>
            <w:r>
              <w:rPr>
                <w:sz w:val="24"/>
              </w:rPr>
              <w:t>合同约定为准。</w:t>
            </w:r>
          </w:p>
          <w:p>
            <w:pPr>
              <w:jc w:val="both"/>
            </w:pPr>
            <w:r>
              <w:rPr>
                <w:sz w:val="21"/>
              </w:rPr>
              <w:t xml:space="preserve">   </w:t>
            </w:r>
            <w:r>
              <w:rPr>
                <w:sz w:val="24"/>
              </w:rPr>
              <w:t xml:space="preserve"> </w:t>
            </w:r>
            <w:r>
              <w:rPr>
                <w:sz w:val="24"/>
              </w:rPr>
              <w:t>（三）服务对象资助经费</w:t>
            </w:r>
          </w:p>
          <w:p>
            <w:pPr>
              <w:ind w:firstLine="480"/>
              <w:jc w:val="both"/>
            </w:pPr>
            <w:r>
              <w:rPr>
                <w:sz w:val="24"/>
              </w:rPr>
              <w:t>服务对象资助经费、助餐配餐服务补贴等政策规定的其他经费，按照最新政策执行，</w:t>
            </w:r>
            <w:r>
              <w:rPr>
                <w:sz w:val="24"/>
              </w:rPr>
              <w:t>具体以</w:t>
            </w:r>
            <w:r>
              <w:rPr>
                <w:sz w:val="24"/>
              </w:rPr>
              <w:t>双方</w:t>
            </w:r>
            <w:r>
              <w:rPr>
                <w:sz w:val="24"/>
              </w:rPr>
              <w:t>合同约定为准。</w:t>
            </w:r>
            <w:r>
              <w:rPr>
                <w:sz w:val="24"/>
              </w:rPr>
              <w:t>。</w:t>
            </w:r>
          </w:p>
          <w:p>
            <w:pPr>
              <w:ind w:firstLine="480"/>
              <w:jc w:val="both"/>
            </w:pPr>
            <w:r>
              <w:rPr>
                <w:sz w:val="24"/>
              </w:rPr>
              <w:t>（四）其他</w:t>
            </w:r>
          </w:p>
          <w:p>
            <w:pPr>
              <w:ind w:firstLine="480"/>
              <w:jc w:val="both"/>
            </w:pPr>
            <w:r>
              <w:rPr>
                <w:sz w:val="24"/>
              </w:rPr>
              <w:t>因</w:t>
            </w:r>
            <w:r>
              <w:rPr>
                <w:sz w:val="24"/>
              </w:rPr>
              <w:t>广州市南沙区民政局</w:t>
            </w:r>
            <w:r>
              <w:rPr>
                <w:sz w:val="24"/>
              </w:rPr>
              <w:t>使用的是财政资金，</w:t>
            </w:r>
            <w:r>
              <w:rPr>
                <w:sz w:val="24"/>
              </w:rPr>
              <w:t>广州市南沙区民政局</w:t>
            </w:r>
            <w:r>
              <w:rPr>
                <w:sz w:val="24"/>
              </w:rPr>
              <w:t>在前款规定的付款时间为向政府采购支付部门提出办理财政支付申请手续的时间（不含政府财政支付部门审核的时间），规定时间内提出支付申请手续后即视为</w:t>
            </w:r>
            <w:r>
              <w:rPr>
                <w:sz w:val="24"/>
              </w:rPr>
              <w:t>服务购买方</w:t>
            </w:r>
            <w:r>
              <w:rPr>
                <w:sz w:val="24"/>
              </w:rPr>
              <w:t>已经按期支付。</w:t>
            </w:r>
          </w:p>
          <w:p>
            <w:pPr>
              <w:ind w:firstLine="480"/>
              <w:jc w:val="both"/>
            </w:pPr>
            <w:r>
              <w:rPr>
                <w:sz w:val="24"/>
              </w:rPr>
              <w:t>七、其他</w:t>
            </w:r>
          </w:p>
          <w:p>
            <w:pPr>
              <w:ind w:firstLine="480"/>
              <w:jc w:val="both"/>
            </w:pPr>
            <w:r>
              <w:rPr>
                <w:sz w:val="24"/>
              </w:rPr>
              <w:t>项目</w:t>
            </w:r>
            <w:r>
              <w:rPr>
                <w:sz w:val="24"/>
              </w:rPr>
              <w:t>开展</w:t>
            </w:r>
            <w:r>
              <w:rPr>
                <w:sz w:val="24"/>
              </w:rPr>
              <w:t>期间若</w:t>
            </w:r>
            <w:r>
              <w:rPr>
                <w:sz w:val="24"/>
              </w:rPr>
              <w:t>相关行政部门</w:t>
            </w:r>
            <w:r>
              <w:rPr>
                <w:sz w:val="24"/>
              </w:rPr>
              <w:t>关于居家社区养老服务相关政策文件或标准规范发生变化的，从其规定，具体由合同双方</w:t>
            </w:r>
            <w:r>
              <w:rPr>
                <w:sz w:val="24"/>
              </w:rPr>
              <w:t>另行约定</w:t>
            </w:r>
            <w:r>
              <w:rPr>
                <w:sz w:val="24"/>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1.采购代理机构：本项目是指品正招标采购（广州）有限公司，负责整个采购活动的组织，依法负责编制和发布磋商文件，对磋商文件拥有最终的解释权，不以任何身份出任磋商小组成员。</w:t>
      </w:r>
    </w:p>
    <w:p>
      <w:pPr>
        <w:ind w:firstLine="480"/>
      </w:pPr>
      <w:r>
        <w:rPr/>
        <w:t>2.采购人：本项目是指</w:t>
      </w:r>
      <w:r>
        <w:rPr/>
        <w:t>广州市南沙区民政局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按差额定率累进法计算收费：参照发改价格〔2011〕534号文以及《关于进一步放开建设项目专业服务价格的通知》（发改价格〔2015〕299号）规定的“服务类”计费标准按人民币22500元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2</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品正招标采购（广州）有限公司网站（http://www.pinzhengzhaobiao.com/）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品正招标采购（广州）有限公司网站（http://www.pinzhengzhaobiao.com/）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何小姐</w:t>
      </w:r>
    </w:p>
    <w:p>
      <w:pPr>
        <w:ind w:firstLine="480"/>
      </w:pPr>
      <w:r>
        <w:rPr/>
        <w:t>电话：</w:t>
      </w:r>
      <w:r>
        <w:rPr/>
        <w:t>(020)22634050</w:t>
      </w:r>
    </w:p>
    <w:p>
      <w:pPr>
        <w:ind w:firstLine="480"/>
      </w:pPr>
      <w:r>
        <w:rPr/>
        <w:t>传真：</w:t>
      </w:r>
      <w:r>
        <w:rPr/>
        <w:t>/</w:t>
      </w:r>
    </w:p>
    <w:p>
      <w:pPr>
        <w:ind w:firstLine="480"/>
      </w:pPr>
      <w:r>
        <w:rPr/>
        <w:t>邮箱：</w:t>
      </w:r>
      <w:r>
        <w:rPr/>
        <w:t>2190093240@qq.com</w:t>
      </w:r>
    </w:p>
    <w:p>
      <w:pPr>
        <w:ind w:firstLine="480"/>
      </w:pPr>
      <w:r>
        <w:rPr/>
        <w:t>地址：</w:t>
      </w:r>
      <w:r>
        <w:rPr/>
        <w:t>广州市南沙区东涌镇大同村市南公路13号茂源创意园A座302</w:t>
      </w:r>
    </w:p>
    <w:p>
      <w:pPr>
        <w:ind w:firstLine="480"/>
      </w:pPr>
      <w:r>
        <w:rPr/>
        <w:t>邮编：</w:t>
      </w:r>
      <w:r>
        <w:rPr/>
        <w:t>511453</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政府采购监督管理机构名称：广州市南沙区财政局财政监督管理处</w:t>
      </w:r>
    </w:p>
    <w:p>
      <w:r>
        <w:rPr/>
        <w:t>地  址：广州市南沙区凤凰大道1号D栋3楼</w:t>
      </w:r>
    </w:p>
    <w:p>
      <w:r>
        <w:rPr/>
        <w:t>电  话：020-39078089</w:t>
      </w:r>
    </w:p>
    <w:p>
      <w:r>
        <w:rPr/>
        <w:t>邮  编：511455</w:t>
      </w:r>
    </w:p>
    <w:p>
      <w:r>
        <w:rPr/>
        <w:t>传  真：020-84986648</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州市南沙区综合养老服务中心运营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品正招标采购（广州）有限公司</w:t>
      </w:r>
      <w:r>
        <w:rPr/>
        <w:t>统一对外发布。</w:t>
      </w:r>
    </w:p>
    <w:p>
      <w:pPr>
        <w:ind w:firstLine="480"/>
      </w:pPr>
      <w:r>
        <w:rPr/>
        <w:t>（2）对</w:t>
      </w:r>
      <w:r>
        <w:rPr/>
        <w:t>品正招标采购（广州）有限公司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 不同投标人的电子投标文件制作机器MAC地址硬件信息相同的。</w:t>
      </w:r>
    </w:p>
    <w:p>
      <w:pPr>
        <w:ind w:firstLine="480"/>
      </w:pPr>
      <w:r>
        <w:rPr/>
        <w:t>4.8供应商上传的电子响应文件使用该项目其他响应供应商的数字证书加密的或加盖该项目的其他响应供应商的电子印章的。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采购包1（广州市南沙区综合养老服务中心运营项目）：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系统抓取并记录到供应商与同项目（采购包）其他投标（响应）供应商电子投标文件制作计算机的网卡MAC地址硬件信息相同（开标现场上传电子投标文件的除外）的情形，磋商小组会应认定其投标（响应）无效。</w:t>
      </w:r>
    </w:p>
    <w:p>
      <w:pPr>
        <w:ind w:firstLine="480"/>
      </w:pPr>
      <w:r>
        <w:rPr/>
        <w:t>表一资格性审查表：</w:t>
      </w:r>
    </w:p>
    <w:p>
      <w:pPr>
        <w:ind w:firstLine="480"/>
      </w:pPr>
    </w:p>
    <w:p/>
    <w:p>
      <w:r>
        <w:rPr/>
        <w:t>采购包1（广州市南沙区综合养老服务中心运营项目）：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分公司已获得总公司有效授权的，总公司取得的相关资质证书对分公司有效。若法律法规或招标文件另有规定的从其规定）</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具有履行合同所必需的设备和专业技术能力。（提供书面承诺声明函（格式自拟））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参加采购活动前三年内，在经营活动中没有重大违法记录。（提供书面承诺声明函（格式自拟））。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供应商未被列入“信用中国”网站(www.creditchina.gov.cn)“记录失信被执行人或重大税收违失信主体或政府采购严重违法失信行为记录名单”记录名单； 不处于中国政府采购网(www.ccgp.gov.cn)“政府采购严重违法失信行为信息记录”中的禁止参加政府采购活动期间。（以采购代理机构于投标（响应）截止时间当天在“信用中国”网站（www.creditchina.gov.cn） 及中国政府采购网（http://www.ccgp.gov.cn/） 查询结果为准，如相关失信记录已失效，供应商需提供相关证明资料）。联合体投标的，各方均需满足上述要求。</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（提供《响应承诺函》）</w:t>
            </w:r>
          </w:p>
        </w:tc>
      </w:tr>
      <w:tr>
        <w:tc>
          <w:tcPr>
            <w:tcW w:type="dxa" w:w="890"/>
          </w:tcPr>
          <w:p>
            <w:r>
              <w:rPr/>
              <w:t>8</w:t>
            </w:r>
          </w:p>
        </w:tc>
        <w:tc>
          <w:tcPr>
            <w:tcW w:type="dxa" w:w="3178"/>
          </w:tcPr>
          <w:p>
            <w:r>
              <w:rPr/>
              <w:t>联合体投标的要求</w:t>
            </w:r>
          </w:p>
        </w:tc>
        <w:tc>
          <w:tcPr>
            <w:tcW w:type="dxa" w:w="4238"/>
          </w:tcPr>
          <w:p>
            <w:r>
              <w:rPr/>
              <w:t>本项目接受联合体投标。联合体投标的，联合体各方之间应当签订“共同投标协议”，明确约定联合体各方承担的工作和相应的责任，并将共同投标协议连同投标文件一并提交。联合体各方签订共同投标协议后，不得再以自己名义单独在同一项目中投标，也不得组成新的联合体参加同一项目投标。</w:t>
            </w:r>
          </w:p>
        </w:tc>
      </w:tr>
      <w:tr>
        <w:tc>
          <w:tcPr>
            <w:tcW w:type="dxa" w:w="890"/>
          </w:tcPr>
          <w:p>
            <w:r>
              <w:rPr/>
              <w:t>9</w:t>
            </w:r>
          </w:p>
        </w:tc>
        <w:tc>
          <w:tcPr>
            <w:tcW w:type="dxa" w:w="3178"/>
          </w:tcPr>
          <w:p>
            <w:r>
              <w:rPr/>
              <w:t>促进中小企业发展</w:t>
            </w:r>
          </w:p>
        </w:tc>
        <w:tc>
          <w:tcPr>
            <w:tcW w:type="dxa" w:w="4238"/>
          </w:tcPr>
          <w:p>
            <w:r>
              <w:rPr/>
              <w:t>采购包整体专门面向中小企业。供应商提供的货物或服务须全部由中小企业生产且使用该中小企业商号或注册商标，该中小企业须符合本项目采购标的对应行业（本项目行业为： 其他未列明行业 ）的政策划分标准（监狱企业、残疾人福利性单位视同小微企业）。中小企业以供应商填写的《中小企业声明函》（见响应文件格式）为判定标准；残疾人福利性单位以供应商提供的《残疾人福利性单位声明函》（见响应文件格式）为判定标准；监狱企业须供应商提供由省级以上监狱管理局、戒毒管理局（含新疆生产建设兵团）出具的属于监狱企业的证明文件，否则不予认定。联合体投标的，各方需均符合本项目采购标的对应行业（本项目行业为： 其他未列明行业 ）的政策划分标准（监狱企业、残疾人福利性单位视同小微企业）。</w:t>
            </w:r>
          </w:p>
        </w:tc>
      </w:tr>
    </w:tbl>
    <w:p/>
    <w:p>
      <w:pPr>
        <w:ind w:firstLine="480"/>
      </w:pPr>
      <w:r>
        <w:rPr/>
        <w:t>表二符合性审查表：</w:t>
      </w:r>
    </w:p>
    <w:p>
      <w:pPr>
        <w:ind w:firstLine="480"/>
      </w:pPr>
    </w:p>
    <w:p/>
    <w:p>
      <w:r>
        <w:rPr/>
        <w:t>采购包1（广州市南沙区综合养老服务中心运营项目）：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法定代表人证明书/法定代表人授权委托书；</w:t>
            </w:r>
          </w:p>
        </w:tc>
        <w:tc>
          <w:tcPr>
            <w:tcW w:type="dxa" w:w="4238"/>
          </w:tcPr>
          <w:p>
            <w:r>
              <w:rPr/>
              <w:t>法定代表人证明书/法定代表人授权委托书；</w:t>
            </w:r>
          </w:p>
        </w:tc>
      </w:tr>
      <w:tr>
        <w:tc>
          <w:tcPr>
            <w:tcW w:type="dxa" w:w="890"/>
          </w:tcPr>
          <w:p>
            <w:r>
              <w:rPr/>
              <w:t>3</w:t>
            </w:r>
          </w:p>
        </w:tc>
        <w:tc>
          <w:tcPr>
            <w:tcW w:type="dxa" w:w="3178"/>
          </w:tcPr>
          <w:p>
            <w:r>
              <w:rPr/>
              <w:t>磋商有效期为90天（日历天）；</w:t>
            </w:r>
          </w:p>
        </w:tc>
        <w:tc>
          <w:tcPr>
            <w:tcW w:type="dxa" w:w="4238"/>
          </w:tcPr>
          <w:p>
            <w:r>
              <w:rPr/>
              <w:t>磋商有效期为90天（日历天）；</w:t>
            </w:r>
          </w:p>
        </w:tc>
      </w:tr>
      <w:tr>
        <w:tc>
          <w:tcPr>
            <w:tcW w:type="dxa" w:w="890"/>
          </w:tcPr>
          <w:p>
            <w:r>
              <w:rPr/>
              <w:t>4</w:t>
            </w:r>
          </w:p>
        </w:tc>
        <w:tc>
          <w:tcPr>
            <w:tcW w:type="dxa" w:w="3178"/>
          </w:tcPr>
          <w:p>
            <w:r>
              <w:rPr/>
              <w:t>响应文件按照磋商文件规定要求签署、盖章；</w:t>
            </w:r>
          </w:p>
        </w:tc>
        <w:tc>
          <w:tcPr>
            <w:tcW w:type="dxa" w:w="4238"/>
          </w:tcPr>
          <w:p>
            <w:r>
              <w:rPr/>
              <w:t>响应文件按照磋商文件规定要求签署、盖章；</w:t>
            </w:r>
          </w:p>
        </w:tc>
      </w:tr>
      <w:tr>
        <w:tc>
          <w:tcPr>
            <w:tcW w:type="dxa" w:w="890"/>
          </w:tcPr>
          <w:p>
            <w:r>
              <w:rPr/>
              <w:t>5</w:t>
            </w:r>
          </w:p>
        </w:tc>
        <w:tc>
          <w:tcPr>
            <w:tcW w:type="dxa" w:w="3178"/>
          </w:tcPr>
          <w:p>
            <w:r>
              <w:rPr/>
              <w:t>投标报价是唯一确定且没超过采购预算；关键、主要内容无漏项。（报价明显低于其他其报价人报价,有可能影响服务质量或者不能诚信履约的，报价人对报价有提供相关证明材料证明其报价合理性。）</w:t>
            </w:r>
          </w:p>
        </w:tc>
        <w:tc>
          <w:tcPr>
            <w:tcW w:type="dxa" w:w="4238"/>
          </w:tcPr>
          <w:p>
            <w:r>
              <w:rPr/>
              <w:t>投标报价是唯一确定且没超过采购预算；关键、主要内容无漏项。（报价明显低于其他其报价人报价,有可能影响服务质量或者不能诚信履约的，报价人对报价有提供相关证明材料证明其报价合理性。）</w:t>
            </w:r>
          </w:p>
        </w:tc>
      </w:tr>
      <w:tr>
        <w:tc>
          <w:tcPr>
            <w:tcW w:type="dxa" w:w="890"/>
          </w:tcPr>
          <w:p>
            <w:r>
              <w:rPr/>
              <w:t>6</w:t>
            </w:r>
          </w:p>
        </w:tc>
        <w:tc>
          <w:tcPr>
            <w:tcW w:type="dxa" w:w="3178"/>
          </w:tcPr>
          <w:p>
            <w:r>
              <w:rPr/>
              <w:t>能满足采购人需求中的主要参数（带“★”号条款）；</w:t>
            </w:r>
          </w:p>
        </w:tc>
        <w:tc>
          <w:tcPr>
            <w:tcW w:type="dxa" w:w="4238"/>
          </w:tcPr>
          <w:p>
            <w:r>
              <w:rPr/>
              <w:t>能满足采购人需求中的主要参数（带“★”号条款）；</w:t>
            </w:r>
          </w:p>
        </w:tc>
      </w:tr>
      <w:tr>
        <w:tc>
          <w:tcPr>
            <w:tcW w:type="dxa" w:w="890"/>
          </w:tcPr>
          <w:p>
            <w:r>
              <w:rPr/>
              <w:t>7</w:t>
            </w:r>
          </w:p>
        </w:tc>
        <w:tc>
          <w:tcPr>
            <w:tcW w:type="dxa" w:w="3178"/>
          </w:tcPr>
          <w:p>
            <w:r>
              <w:rPr/>
              <w:t>无磋商文件中规定的被视为无效投标的其它条款的；</w:t>
            </w:r>
          </w:p>
        </w:tc>
        <w:tc>
          <w:tcPr>
            <w:tcW w:type="dxa" w:w="4238"/>
          </w:tcPr>
          <w:p>
            <w:r>
              <w:rPr/>
              <w:t>无磋商文件中规定的被视为无效投标的其它条款的；</w:t>
            </w:r>
          </w:p>
        </w:tc>
      </w:tr>
      <w:tr>
        <w:tc>
          <w:tcPr>
            <w:tcW w:type="dxa" w:w="890"/>
          </w:tcPr>
          <w:p>
            <w:r>
              <w:rPr/>
              <w:t>8</w:t>
            </w:r>
          </w:p>
        </w:tc>
        <w:tc>
          <w:tcPr>
            <w:tcW w:type="dxa" w:w="3178"/>
          </w:tcPr>
          <w:p>
            <w:r>
              <w:rPr/>
              <w:t>未出现法律、法规、规章规定属于投标无效的其他情形。</w:t>
            </w:r>
          </w:p>
        </w:tc>
        <w:tc>
          <w:tcPr>
            <w:tcW w:type="dxa" w:w="4238"/>
          </w:tcPr>
          <w:p>
            <w:r>
              <w:rPr/>
              <w:t>未出现法律、法规、规章规定属于投标无效的其他情形。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广州市南沙区综合养老服务中心运营项目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技术部分50.0分</w:t>
            </w:r>
          </w:p>
          <w:p>
            <w:r>
              <w:rPr/>
              <w:t>报价得分20.0分</w:t>
            </w:r>
          </w:p>
        </w:tc>
      </w:tr>
      <w:tr>
        <w:tc>
          <w:tcPr>
            <w:tcW w:type="dxa" w:w="922"/>
            <w:gridSpan w:val="2"/>
            <w:vMerge w:val="restart"/>
          </w:tcPr>
          <w:p>
            <w:pPr>
              <w:jc w:val="center"/>
            </w:pPr>
            <w:r>
              <w:rPr/>
              <w:t>技术部分</w:t>
            </w:r>
          </w:p>
        </w:tc>
        <w:tc>
          <w:tcPr>
            <w:tcW w:type="dxa" w:w="2307"/>
          </w:tcPr>
          <w:p>
            <w:pPr>
              <w:jc w:val="left"/>
            </w:pPr>
            <w:r>
              <w:rPr/>
              <w:t>项目计划的专业服务内容 (10.0分)</w:t>
            </w:r>
          </w:p>
        </w:tc>
        <w:tc>
          <w:tcPr>
            <w:tcW w:type="dxa" w:w="5076"/>
          </w:tcPr>
          <w:p>
            <w:pPr>
              <w:jc w:val="left"/>
            </w:pPr>
            <w:r>
              <w:rPr/>
              <w:t>1.非常熟悉项目内容，针对本项目制定了较为完善的实施计划、人员结构及分工、服务供给、应急预案等内容，对进度把控及方案质量保证有详细的说明，有创新特色，综合比较为优，得10分； 2.比较熟悉项目内容，能针对本项目制定相应的实施计划、人员结构及分工、服务供给、应急预案等内容，对进度把控及方案质量保证有相关的说明，综合比较为良，得7分； 3.了解项目内容，能针对本项目制定相应的实施计划、人员结构及分工、服务供给等内容，对进度把控及方案质量保证有一些说明，综合比较为中，得4分； 4.不了解项目内容，不能针对本项目制定相应的实施计划、人员结构及分工、服务供给等内容，对进度把控及方案质量没有说明，综合比较为差，得1分。</w:t>
            </w:r>
          </w:p>
        </w:tc>
      </w:tr>
      <w:tr>
        <w:tc>
          <w:tcPr>
            <w:tcW w:type="dxa" w:w="922"/>
            <w:gridSpan w:val="2"/>
            <w:vMerge/>
          </w:tcPr>
          <w:p/>
        </w:tc>
        <w:tc>
          <w:tcPr>
            <w:tcW w:type="dxa" w:w="2307"/>
          </w:tcPr>
          <w:p>
            <w:pPr>
              <w:jc w:val="left"/>
            </w:pPr>
            <w:r>
              <w:rPr/>
              <w:t>拟投入团队人员 (26.0分)</w:t>
            </w:r>
          </w:p>
        </w:tc>
        <w:tc>
          <w:tcPr>
            <w:tcW w:type="dxa" w:w="5076"/>
          </w:tcPr>
          <w:p>
            <w:pPr>
              <w:jc w:val="left"/>
            </w:pPr>
            <w:r>
              <w:rPr/>
              <w:t>拟投入团队所有人员均应具备本科及以上学历，不满足的不得分。 （一）为本项目配备的专职项目负责人（项目负责人应具有高校本科或以上学历，并持社工或相关专业资格中级或以上证书），在满足以上要求的基础上： 1.具有5年及以上养老服务管理工作经验，得2分； 2.具有5年以下养老服务管理工作经验，得1分。 3.不满足要求不得分。 注：多位项目负责人，不可同时得分，按最高档次计算。  （二）本项目配备执业医师的情况：  每配备1位得2分，本小项最高得4分。  （三）为本项目配备专职执业护士的情况：  每配备1位得2分,本小项最高得4分。  （四）为本项目配备专职康复治疗师的情况：  每配备1位得2分，本小项最高得4分。  （五）为本项目配备专职社会工作师的情况：  1.配备中级社会工作师，每配备1位得1.5分；  2.配备初级社会工作师，每配备1位得1分。  注：可累计计算得分，本小项最高得6分。  （六）为本项目配备专职养老护理员的情况：  每配备1位得2分，最高得4分。  （七）为本项目配备财会专业人员情况：  1.具备财会职业资格证书的财会人员得2分。 2.无提供财会专业人员的不得分。 注：提供多位财会专业人员的，不可同时得分，按最高档次计算。  说明： ①本项累计最高得26分。 ②提供为本项目配备的团队人员数量及相关资格要求，同一个人只按一项得分，按最高分项计算，不累计得分。 ③需提交人员名单、专业证书、身份证、毕业证、聘用合同及至递交响应文件截止之日前三个月内的任意一个月缴纳社保证明复印件并加盖公章，工作经验还需出具相应岗位工作经验证明文件。（单个人员缺少任一证明资料复印件均不得分） ④若为联合体投标的，联合体各方可合并计算得分。</w:t>
            </w:r>
          </w:p>
        </w:tc>
      </w:tr>
      <w:tr>
        <w:tc>
          <w:tcPr>
            <w:tcW w:type="dxa" w:w="922"/>
            <w:gridSpan w:val="2"/>
            <w:vMerge/>
          </w:tcPr>
          <w:p/>
        </w:tc>
        <w:tc>
          <w:tcPr>
            <w:tcW w:type="dxa" w:w="2307"/>
          </w:tcPr>
          <w:p>
            <w:pPr>
              <w:jc w:val="left"/>
            </w:pPr>
            <w:r>
              <w:rPr/>
              <w:t>规章制度和服务标准 (6.0分)</w:t>
            </w:r>
          </w:p>
        </w:tc>
        <w:tc>
          <w:tcPr>
            <w:tcW w:type="dxa" w:w="5076"/>
          </w:tcPr>
          <w:p>
            <w:pPr>
              <w:jc w:val="left"/>
            </w:pPr>
            <w:r>
              <w:rPr/>
              <w:t>根据投标人提供的规章制度和服务标准进行评审：   1、规章制度健全合规，服务标准详尽明确，切合实际的，得6分；  2、有一定的规章制度和服务标准，规章制度较健全合规，服务标准较详尽明确，较能切合实际的，得3分；  3、有一定的规章制度和服务标准，规章制度基本健全合规，服务标准基本明确，基本能切合实际的，得1分；  4、其它或不提供不得分。</w:t>
            </w:r>
          </w:p>
        </w:tc>
      </w:tr>
      <w:tr>
        <w:tc>
          <w:tcPr>
            <w:tcW w:type="dxa" w:w="922"/>
            <w:gridSpan w:val="2"/>
            <w:vMerge/>
          </w:tcPr>
          <w:p/>
        </w:tc>
        <w:tc>
          <w:tcPr>
            <w:tcW w:type="dxa" w:w="2307"/>
          </w:tcPr>
          <w:p>
            <w:pPr>
              <w:jc w:val="left"/>
            </w:pPr>
            <w:r>
              <w:rPr/>
              <w:t>项目经费预算保障 (6.0分)</w:t>
            </w:r>
          </w:p>
        </w:tc>
        <w:tc>
          <w:tcPr>
            <w:tcW w:type="dxa" w:w="5076"/>
          </w:tcPr>
          <w:p>
            <w:pPr>
              <w:jc w:val="left"/>
            </w:pPr>
            <w:r>
              <w:rPr/>
              <w:t>1、项目经费预算科目清晰，全面考虑了工作中各项可能性支出，预算明细合理且符合政府购买服务的相关规定，得6分；  2、项目经费预算科目清晰，较全面考虑了工作中各项可能性支出，预算明细较合理且符合政府购买服务的相关规定，得3分；  3、项目经费预算科目清晰，但对工作中各项主要性支出考虑不够全面，预算明细基本合理，得1分；  4、其它或不提供不得分。</w:t>
            </w:r>
          </w:p>
        </w:tc>
      </w:tr>
      <w:tr>
        <w:tc>
          <w:tcPr>
            <w:tcW w:type="dxa" w:w="922"/>
            <w:gridSpan w:val="2"/>
            <w:vMerge/>
          </w:tcPr>
          <w:p/>
        </w:tc>
        <w:tc>
          <w:tcPr>
            <w:tcW w:type="dxa" w:w="2307"/>
          </w:tcPr>
          <w:p>
            <w:pPr>
              <w:jc w:val="left"/>
            </w:pPr>
            <w:r>
              <w:rPr/>
              <w:t>项目实施办公需求等后勤保障情况承诺 (2.0分)</w:t>
            </w:r>
          </w:p>
        </w:tc>
        <w:tc>
          <w:tcPr>
            <w:tcW w:type="dxa" w:w="5076"/>
          </w:tcPr>
          <w:p>
            <w:pPr>
              <w:jc w:val="left"/>
            </w:pPr>
            <w:r>
              <w:rPr/>
              <w:t>承诺中标后为本项目配备专用的打印机等办公设备以及安排督导检查用车保障，投标单位根据拟计划投入设备情况出具承诺函。 提供承诺函的，得2分，不提供的不得分。</w:t>
            </w:r>
          </w:p>
        </w:tc>
      </w:tr>
      <w:tr>
        <w:tc>
          <w:tcPr>
            <w:tcW w:type="dxa" w:w="922"/>
            <w:gridSpan w:val="2"/>
            <w:vMerge w:val="restart"/>
          </w:tcPr>
          <w:p>
            <w:pPr>
              <w:jc w:val="center"/>
            </w:pPr>
            <w:r>
              <w:rPr/>
              <w:t>商务部分</w:t>
            </w:r>
          </w:p>
        </w:tc>
        <w:tc>
          <w:tcPr>
            <w:tcW w:type="dxa" w:w="2307"/>
          </w:tcPr>
          <w:p>
            <w:pPr>
              <w:jc w:val="left"/>
            </w:pPr>
            <w:r>
              <w:rPr/>
              <w:t>用户需求响应情况 (2.0分)</w:t>
            </w:r>
          </w:p>
        </w:tc>
        <w:tc>
          <w:tcPr>
            <w:tcW w:type="dxa" w:w="5076"/>
          </w:tcPr>
          <w:p>
            <w:pPr>
              <w:jc w:val="left"/>
            </w:pPr>
            <w:r>
              <w:rPr/>
              <w:t>对用户需求书响应程度进行评审：  1.完全满足或优于用户需求书要求的，得2分；  2.无响应或不提供不得分。</w:t>
            </w:r>
          </w:p>
        </w:tc>
      </w:tr>
      <w:tr>
        <w:tc>
          <w:tcPr>
            <w:tcW w:type="dxa" w:w="922"/>
            <w:gridSpan w:val="2"/>
            <w:vMerge/>
          </w:tcPr>
          <w:p/>
        </w:tc>
        <w:tc>
          <w:tcPr>
            <w:tcW w:type="dxa" w:w="2307"/>
          </w:tcPr>
          <w:p>
            <w:pPr>
              <w:jc w:val="left"/>
            </w:pPr>
            <w:r>
              <w:rPr/>
              <w:t>同类项目业绩 (6.0分)</w:t>
            </w:r>
          </w:p>
        </w:tc>
        <w:tc>
          <w:tcPr>
            <w:tcW w:type="dxa" w:w="5076"/>
          </w:tcPr>
          <w:p>
            <w:pPr>
              <w:jc w:val="left"/>
            </w:pPr>
            <w:r>
              <w:rPr/>
              <w:t>投标人提供2019年1月1日至今（以合同签订时间为准）承接的居家养老服务项目，每提供一项合同复印件得0.5分，最高得6分。  注：须提供合同复印件，业绩时间按签订时间为准，无提供或资料提供不全不得分。若为联合体投标的，联合体各方可合并计算得分。</w:t>
            </w:r>
          </w:p>
        </w:tc>
      </w:tr>
      <w:tr>
        <w:tc>
          <w:tcPr>
            <w:tcW w:type="dxa" w:w="922"/>
            <w:gridSpan w:val="2"/>
            <w:vMerge/>
          </w:tcPr>
          <w:p/>
        </w:tc>
        <w:tc>
          <w:tcPr>
            <w:tcW w:type="dxa" w:w="2307"/>
          </w:tcPr>
          <w:p>
            <w:pPr>
              <w:jc w:val="left"/>
            </w:pPr>
            <w:r>
              <w:rPr/>
              <w:t>项目经验评估 (3.0分)</w:t>
            </w:r>
          </w:p>
        </w:tc>
        <w:tc>
          <w:tcPr>
            <w:tcW w:type="dxa" w:w="5076"/>
          </w:tcPr>
          <w:p>
            <w:pPr>
              <w:jc w:val="left"/>
            </w:pPr>
            <w:r>
              <w:rPr/>
              <w:t>在上述有效业绩中，项目经验评估为优秀或满意等同类评级得2分；项目经验评估为良好等同类评级得1分；项目经验评估为合格等同类评级得0.5分；本项最高得3分。   注：须提供项目经验评估的材料复印件，证明材料需明确项目经验评估结果，无提供不得分。若为联合体投标的，联合体各方可合并计算得分。</w:t>
            </w:r>
          </w:p>
        </w:tc>
      </w:tr>
      <w:tr>
        <w:tc>
          <w:tcPr>
            <w:tcW w:type="dxa" w:w="922"/>
            <w:gridSpan w:val="2"/>
            <w:vMerge/>
          </w:tcPr>
          <w:p/>
        </w:tc>
        <w:tc>
          <w:tcPr>
            <w:tcW w:type="dxa" w:w="2307"/>
          </w:tcPr>
          <w:p>
            <w:pPr>
              <w:jc w:val="left"/>
            </w:pPr>
            <w:r>
              <w:rPr/>
              <w:t>服务机构评定情况 (5.0分)</w:t>
            </w:r>
          </w:p>
        </w:tc>
        <w:tc>
          <w:tcPr>
            <w:tcW w:type="dxa" w:w="5076"/>
          </w:tcPr>
          <w:p>
            <w:pPr>
              <w:jc w:val="left"/>
            </w:pPr>
            <w:r>
              <w:rPr/>
              <w:t>（一）投标人为社区居家养老服务机构的，参与星级社区居家养老服务机构评定：   1.获得5星级社区居家养老服务机构的，得5分；   2.获得4星级社区居家养老服务机构的，得4分；   3.获得3星级社区居家养老服务机构的，得3分；   4.获得2星级社区居家养老服务机构的，得2分；   5.获得1星级社区居家养老服务机构的，得1分；   6.未获得星级评定的，得0.5分。   （二）投标人为养老机构的：   1.获得5星级养老机构的，得5分；   2.获得4星级养老机构的，得4分；   3.获得3星级养老机构的，得3分；   4.获得2星级养老机构的，得2分；   5.获得1星级养老机构的，得1分；   6.未获得评级的，得0.5分  注：投标人提供上述（一）或（二）相关证明材料，提供多项评定的，按最高档次计算，不累计得分，本项最高得5分。若为联合体投标的，按联合体各方最高档次计算得分。需提供相关证明材料复印件，不提供不得分。</w:t>
            </w:r>
          </w:p>
        </w:tc>
      </w:tr>
      <w:tr>
        <w:tc>
          <w:tcPr>
            <w:tcW w:type="dxa" w:w="922"/>
            <w:gridSpan w:val="2"/>
            <w:vMerge/>
          </w:tcPr>
          <w:p/>
        </w:tc>
        <w:tc>
          <w:tcPr>
            <w:tcW w:type="dxa" w:w="2307"/>
          </w:tcPr>
          <w:p>
            <w:pPr>
              <w:jc w:val="left"/>
            </w:pPr>
            <w:r>
              <w:rPr/>
              <w:t>投标人获奖情况 (5.0分)</w:t>
            </w:r>
          </w:p>
        </w:tc>
        <w:tc>
          <w:tcPr>
            <w:tcW w:type="dxa" w:w="5076"/>
          </w:tcPr>
          <w:p>
            <w:pPr>
              <w:jc w:val="left"/>
            </w:pPr>
            <w:r>
              <w:rPr/>
              <w:t>获得国家有关政府部门颁发的官方权威奖项，国家级的得5分，省级的得3分，市级的得1分。  注：提供能体现投标人名称的证书或牌匾或政府网站截图等材料，并在以上材料对应的位置圈出投标人名称。若为联合体投标的，联合体各方可合并计算得分。</w:t>
            </w:r>
          </w:p>
        </w:tc>
      </w:tr>
      <w:tr>
        <w:tc>
          <w:tcPr>
            <w:tcW w:type="dxa" w:w="922"/>
            <w:gridSpan w:val="2"/>
            <w:vMerge/>
          </w:tcPr>
          <w:p/>
        </w:tc>
        <w:tc>
          <w:tcPr>
            <w:tcW w:type="dxa" w:w="2307"/>
          </w:tcPr>
          <w:p>
            <w:pPr>
              <w:jc w:val="left"/>
            </w:pPr>
            <w:r>
              <w:rPr/>
              <w:t>资源链接及社会参与能力 (2.0分)</w:t>
            </w:r>
          </w:p>
        </w:tc>
        <w:tc>
          <w:tcPr>
            <w:tcW w:type="dxa" w:w="5076"/>
          </w:tcPr>
          <w:p>
            <w:pPr>
              <w:jc w:val="left"/>
            </w:pPr>
            <w:r>
              <w:rPr/>
              <w:t>1.近3年内，投标人获得公益慈善组织、基金会、企业等各类社会资金或物资支持。每项资助得0.5分，最高2分。  注：本项累计最高得2分。需提供相关证明材料复印件，不提供不得分。若为联合体投标的，联合体各方可合并计算得分。</w:t>
            </w:r>
          </w:p>
        </w:tc>
      </w:tr>
      <w:tr>
        <w:tc>
          <w:tcPr>
            <w:tcW w:type="dxa" w:w="922"/>
            <w:gridSpan w:val="2"/>
            <w:vMerge/>
          </w:tcPr>
          <w:p/>
        </w:tc>
        <w:tc>
          <w:tcPr>
            <w:tcW w:type="dxa" w:w="2307"/>
          </w:tcPr>
          <w:p>
            <w:pPr>
              <w:jc w:val="left"/>
            </w:pPr>
            <w:r>
              <w:rPr/>
              <w:t>企业实力  (7.0分)</w:t>
            </w:r>
          </w:p>
        </w:tc>
        <w:tc>
          <w:tcPr>
            <w:tcW w:type="dxa" w:w="5076"/>
          </w:tcPr>
          <w:p>
            <w:pPr>
              <w:jc w:val="left"/>
            </w:pPr>
            <w:r>
              <w:rPr/>
              <w:t>1.投标人自有医疗资质或与有医疗资质的机构合作的，得2分。需提供相关证明材料，合作形式的需同时提供合作合同复印件，不提供不得分。 2.投标人自有食品经营或食品生产资质或与有食品经营或食品生产资质的单位合作的，得2分。需提供相关证明材料，合作形式的需同时提供合作合同复印件，不提供不得分。 3.投标人具有全托养老服务能力，能提供全日集中住宿和照料护理服务的，得3分。需提供民政部门养老机构备案证明，不提供不得分。 以上若为联合体投标的，联合体各方可合并计算得分。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color w:val="2C3E50"/>
        </w:rPr>
        <w:t xml:space="preserve"> </w:t>
      </w:r>
    </w:p>
    <w:p>
      <w:pPr>
        <w:jc w:val="center"/>
      </w:pPr>
      <w:r>
        <w:rPr>
          <w:b/>
          <w:color w:val="2C3E50"/>
        </w:rPr>
        <w:t xml:space="preserve"> </w:t>
      </w:r>
    </w:p>
    <w:p>
      <w:pPr>
        <w:jc w:val="center"/>
      </w:pPr>
      <w:r>
        <w:rPr>
          <w:b/>
          <w:color w:val="2C3E50"/>
        </w:rPr>
        <w:t xml:space="preserve"> </w:t>
      </w:r>
    </w:p>
    <w:p>
      <w:pPr>
        <w:jc w:val="center"/>
      </w:pPr>
      <w:r>
        <w:rPr>
          <w:b/>
          <w:color w:val="2C3E50"/>
        </w:rPr>
        <w:t xml:space="preserve"> </w:t>
      </w:r>
    </w:p>
    <w:p>
      <w:pPr>
        <w:jc w:val="center"/>
      </w:pPr>
      <w:r>
        <w:rPr>
          <w:b/>
          <w:color w:val="2C3E50"/>
        </w:rPr>
        <w:t>广东省政府采购</w:t>
      </w:r>
    </w:p>
    <w:p>
      <w:pPr>
        <w:jc w:val="both"/>
      </w:pPr>
      <w:r>
        <w:rPr>
          <w:color w:val="2C3E50"/>
          <w:sz w:val="27"/>
        </w:rPr>
        <w:t xml:space="preserve"> </w:t>
      </w:r>
    </w:p>
    <w:p>
      <w:pPr>
        <w:jc w:val="center"/>
      </w:pPr>
      <w:r>
        <w:rPr>
          <w:b/>
          <w:color w:val="2C3E50"/>
        </w:rPr>
        <w:t>合　同　书</w:t>
      </w:r>
    </w:p>
    <w:p>
      <w:pPr>
        <w:jc w:val="center"/>
      </w:pPr>
      <w:r>
        <w:br/>
      </w:r>
      <w:r>
        <w:br/>
      </w:r>
      <w:r>
        <w:br/>
      </w:r>
      <w:r>
        <w:br/>
      </w:r>
      <w:r>
        <w:br/>
      </w:r>
      <w:r>
        <w:br/>
      </w:r>
      <w:r>
        <w:br/>
      </w:r>
      <w:r>
        <w:br/>
      </w:r>
      <w:r>
        <w:rPr>
          <w:color w:val="2C3E50"/>
          <w:sz w:val="27"/>
        </w:rPr>
        <w:t xml:space="preserve"> </w:t>
      </w:r>
    </w:p>
    <w:p>
      <w:pPr>
        <w:jc w:val="center"/>
      </w:pPr>
      <w:r>
        <w:rPr>
          <w:color w:val="2C3E50"/>
          <w:sz w:val="28"/>
        </w:rPr>
        <w:t>采购计划编号：</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p>
    <w:p>
      <w:pPr>
        <w:jc w:val="both"/>
      </w:pPr>
      <w:r>
        <w:rPr>
          <w:color w:val="2C3E50"/>
          <w:sz w:val="27"/>
        </w:rPr>
        <w:t xml:space="preserve"> </w:t>
      </w:r>
    </w:p>
    <w:p>
      <w:pPr>
        <w:jc w:val="center"/>
      </w:pPr>
      <w:r>
        <w:rPr>
          <w:color w:val="2C3E50"/>
          <w:sz w:val="28"/>
        </w:rPr>
        <w:t>项目编号：</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p>
    <w:p>
      <w:pPr>
        <w:jc w:val="both"/>
      </w:pPr>
      <w:r>
        <w:rPr>
          <w:color w:val="2C3E50"/>
          <w:sz w:val="27"/>
        </w:rPr>
        <w:t xml:space="preserve"> </w:t>
      </w:r>
    </w:p>
    <w:p>
      <w:pPr>
        <w:jc w:val="center"/>
      </w:pPr>
      <w:r>
        <w:rPr>
          <w:color w:val="2C3E50"/>
          <w:sz w:val="28"/>
        </w:rPr>
        <w:t>项目名称：</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r>
        <w:rPr>
          <w:color w:val="2C3E50"/>
          <w:u w:val="single"/>
        </w:rPr>
        <w:t xml:space="preserve">  </w:t>
      </w:r>
    </w:p>
    <w:p>
      <w:r>
        <w:rPr>
          <w:color w:val="2C3E50"/>
          <w:sz w:val="27"/>
        </w:rPr>
        <w:t xml:space="preserve"> </w:t>
      </w:r>
    </w:p>
    <w:p>
      <w:r>
        <w:rPr>
          <w:color w:val="2C3E50"/>
          <w:sz w:val="27"/>
        </w:rPr>
        <w:t xml:space="preserve"> </w:t>
      </w:r>
    </w:p>
    <w:p>
      <w:r>
        <w:rPr>
          <w:color w:val="2C3E50"/>
          <w:sz w:val="27"/>
        </w:rPr>
        <w:t xml:space="preserve"> </w:t>
      </w:r>
    </w:p>
    <w:p>
      <w:r>
        <w:rPr>
          <w:color w:val="2C3E50"/>
          <w:sz w:val="27"/>
        </w:rPr>
        <w:t xml:space="preserve"> </w:t>
      </w:r>
    </w:p>
    <w:p>
      <w:r>
        <w:rPr>
          <w:color w:val="2C3E50"/>
          <w:sz w:val="27"/>
        </w:rPr>
        <w:t xml:space="preserve"> </w:t>
      </w:r>
    </w:p>
    <w:p>
      <w:r>
        <w:rPr>
          <w:color w:val="2C3E50"/>
          <w:sz w:val="27"/>
        </w:rPr>
        <w:t xml:space="preserve"> </w:t>
      </w:r>
    </w:p>
    <w:p>
      <w:r>
        <w:rPr>
          <w:color w:val="2C3E50"/>
          <w:sz w:val="27"/>
        </w:rPr>
        <w:t xml:space="preserve"> </w:t>
      </w:r>
    </w:p>
    <w:p>
      <w:r>
        <w:rPr>
          <w:color w:val="2C3E50"/>
          <w:sz w:val="27"/>
        </w:rPr>
        <w:t xml:space="preserve"> </w:t>
      </w:r>
    </w:p>
    <w:p>
      <w:r>
        <w:rPr>
          <w:color w:val="2C3E50"/>
          <w:sz w:val="27"/>
        </w:rPr>
        <w:t xml:space="preserve"> </w:t>
      </w:r>
    </w:p>
    <w:p>
      <w:pPr>
        <w:jc w:val="both"/>
      </w:pPr>
      <w:r>
        <w:br/>
      </w:r>
      <w:r>
        <w:rPr>
          <w:color w:val="2C3E50"/>
          <w:sz w:val="27"/>
        </w:rPr>
        <w:t xml:space="preserve"> </w:t>
      </w:r>
    </w:p>
    <w:p>
      <w:pPr>
        <w:jc w:val="both"/>
      </w:pPr>
    </w:p>
    <w:p>
      <w:pPr>
        <w:jc w:val="center"/>
      </w:pPr>
    </w:p>
    <w:p>
      <w:pPr>
        <w:jc w:val="center"/>
      </w:pPr>
      <w:r>
        <w:rPr>
          <w:b/>
          <w:sz w:val="21"/>
        </w:rPr>
        <w:t>（</w:t>
      </w:r>
      <w:r>
        <w:rPr>
          <w:b/>
          <w:sz w:val="21"/>
        </w:rPr>
        <w:t>注意：本合同书为合同范本，具体内容以实际签订合同为准）</w:t>
      </w:r>
    </w:p>
    <w:p>
      <w:pPr>
        <w:jc w:val="both"/>
      </w:pPr>
      <w:r>
        <w:rPr>
          <w:b/>
          <w:sz w:val="28"/>
        </w:rPr>
        <w:t>甲方</w:t>
      </w:r>
    </w:p>
    <w:p>
      <w:pPr>
        <w:jc w:val="both"/>
      </w:pPr>
      <w:r>
        <w:rPr>
          <w:sz w:val="28"/>
        </w:rPr>
        <w:t>单位名称：</w:t>
      </w:r>
      <w:r>
        <w:rPr>
          <w:sz w:val="28"/>
          <w:u w:val="single"/>
        </w:rPr>
        <w:t>广州市南沙区民政局</w:t>
      </w:r>
    </w:p>
    <w:p>
      <w:pPr>
        <w:jc w:val="both"/>
      </w:pPr>
      <w:r>
        <w:rPr>
          <w:sz w:val="28"/>
        </w:rPr>
        <w:t>法定代表人：</w:t>
      </w:r>
      <w:r>
        <w:rPr>
          <w:sz w:val="21"/>
          <w:u w:val="single"/>
        </w:rPr>
        <w:t xml:space="preserve">       </w:t>
      </w:r>
    </w:p>
    <w:p>
      <w:pPr>
        <w:jc w:val="both"/>
      </w:pPr>
      <w:r>
        <w:rPr>
          <w:sz w:val="28"/>
        </w:rPr>
        <w:t>联系电话：</w:t>
      </w:r>
      <w:r>
        <w:rPr>
          <w:sz w:val="28"/>
          <w:u w:val="single"/>
        </w:rPr>
        <w:t>020-34683395</w:t>
      </w:r>
    </w:p>
    <w:p>
      <w:pPr>
        <w:jc w:val="both"/>
      </w:pPr>
      <w:r>
        <w:rPr>
          <w:sz w:val="28"/>
        </w:rPr>
        <w:t>单位地址：</w:t>
      </w:r>
      <w:r>
        <w:rPr>
          <w:sz w:val="28"/>
          <w:u w:val="single"/>
        </w:rPr>
        <w:t>广州市南沙区环市大道中</w:t>
      </w:r>
      <w:r>
        <w:rPr>
          <w:sz w:val="28"/>
          <w:u w:val="single"/>
        </w:rPr>
        <w:t>13号</w:t>
      </w:r>
    </w:p>
    <w:p>
      <w:pPr>
        <w:jc w:val="both"/>
      </w:pPr>
    </w:p>
    <w:p>
      <w:pPr>
        <w:jc w:val="both"/>
      </w:pPr>
      <w:r>
        <w:rPr>
          <w:b/>
          <w:sz w:val="28"/>
        </w:rPr>
        <w:t>乙方</w:t>
      </w:r>
    </w:p>
    <w:p>
      <w:pPr>
        <w:jc w:val="both"/>
      </w:pPr>
      <w:r>
        <w:rPr>
          <w:sz w:val="28"/>
        </w:rPr>
        <w:t>机构名称：</w:t>
      </w:r>
      <w:r>
        <w:rPr>
          <w:sz w:val="21"/>
          <w:u w:val="single"/>
        </w:rPr>
        <w:t xml:space="preserve">                             </w:t>
      </w:r>
    </w:p>
    <w:p>
      <w:pPr>
        <w:jc w:val="both"/>
      </w:pPr>
      <w:r>
        <w:rPr>
          <w:sz w:val="28"/>
        </w:rPr>
        <w:t>统一社会信用代码：</w:t>
      </w:r>
      <w:r>
        <w:rPr>
          <w:sz w:val="21"/>
          <w:u w:val="single"/>
        </w:rPr>
        <w:t xml:space="preserve">                     </w:t>
      </w:r>
    </w:p>
    <w:p>
      <w:pPr>
        <w:jc w:val="both"/>
      </w:pPr>
      <w:r>
        <w:rPr>
          <w:sz w:val="28"/>
        </w:rPr>
        <w:t>法定代表人：</w:t>
      </w:r>
      <w:r>
        <w:rPr>
          <w:sz w:val="21"/>
          <w:u w:val="single"/>
        </w:rPr>
        <w:t xml:space="preserve">      </w:t>
      </w:r>
    </w:p>
    <w:p>
      <w:pPr>
        <w:jc w:val="both"/>
      </w:pPr>
      <w:r>
        <w:rPr>
          <w:sz w:val="28"/>
        </w:rPr>
        <w:t>联系人：</w:t>
      </w:r>
      <w:r>
        <w:rPr>
          <w:sz w:val="21"/>
          <w:u w:val="single"/>
        </w:rPr>
        <w:t xml:space="preserve">      </w:t>
      </w:r>
    </w:p>
    <w:p>
      <w:pPr>
        <w:jc w:val="both"/>
      </w:pPr>
      <w:r>
        <w:rPr>
          <w:sz w:val="28"/>
        </w:rPr>
        <w:t>联系电话：</w:t>
      </w:r>
      <w:r>
        <w:rPr>
          <w:sz w:val="21"/>
          <w:u w:val="single"/>
        </w:rPr>
        <w:t xml:space="preserve">              </w:t>
      </w:r>
    </w:p>
    <w:p>
      <w:pPr>
        <w:jc w:val="both"/>
      </w:pPr>
      <w:r>
        <w:rPr>
          <w:sz w:val="28"/>
        </w:rPr>
        <w:t>单位地址：</w:t>
      </w:r>
      <w:r>
        <w:rPr>
          <w:sz w:val="21"/>
          <w:u w:val="single"/>
        </w:rPr>
        <w:t xml:space="preserve">                             </w:t>
      </w:r>
    </w:p>
    <w:p>
      <w:pPr>
        <w:ind w:firstLine="643"/>
        <w:jc w:val="both"/>
      </w:pPr>
    </w:p>
    <w:p>
      <w:r>
        <w:rPr>
          <w:sz w:val="24"/>
        </w:rPr>
        <w:t>根据《中华人民共和国民法典》《中华人民共和国采购法》等有关规定，甲方、乙方在平等、自愿、协商一致</w:t>
      </w:r>
      <w:r>
        <w:rPr>
          <w:sz w:val="24"/>
        </w:rPr>
        <w:t>的基础上，就甲方向乙方购买的广州市南沙区综合养老服务中心运营项目签订本合同如下</w:t>
      </w:r>
      <w:r>
        <w:rPr>
          <w:sz w:val="24"/>
        </w:rPr>
        <w:t>:</w:t>
      </w:r>
    </w:p>
    <w:p>
      <w:r>
        <w:rPr/>
        <w:t xml:space="preserve"> </w:t>
      </w:r>
    </w:p>
    <w:p>
      <w:pPr>
        <w:jc w:val="center"/>
      </w:pPr>
      <w:r>
        <w:rPr>
          <w:sz w:val="24"/>
        </w:rPr>
        <w:t>一、合同金额及支付方式</w:t>
      </w:r>
    </w:p>
    <w:p>
      <w:pPr>
        <w:ind w:firstLine="480"/>
        <w:jc w:val="both"/>
      </w:pPr>
      <w:r>
        <w:rPr>
          <w:sz w:val="24"/>
        </w:rPr>
        <w:t>1.1 运营经费</w:t>
      </w:r>
    </w:p>
    <w:p>
      <w:pPr>
        <w:ind w:firstLine="480"/>
        <w:jc w:val="both"/>
      </w:pPr>
      <w:r>
        <w:rPr>
          <w:sz w:val="24"/>
        </w:rPr>
        <w:t>1.1.1合同金额为：（大写）人民币       ，其中项目运营经费       元，项目服务奖励经费最高限额       元。项目周期为一年，含人员成本、培训教育费用、宣传活动费用及由项目开展而产生的其他费用。</w:t>
      </w:r>
    </w:p>
    <w:p>
      <w:pPr>
        <w:ind w:firstLine="480"/>
        <w:jc w:val="both"/>
      </w:pPr>
      <w:r>
        <w:rPr>
          <w:sz w:val="24"/>
        </w:rPr>
        <w:t>1.2支付方式</w:t>
      </w:r>
    </w:p>
    <w:p>
      <w:pPr>
        <w:ind w:firstLine="480"/>
        <w:jc w:val="both"/>
      </w:pPr>
      <w:r>
        <w:rPr>
          <w:sz w:val="24"/>
        </w:rPr>
        <w:t>1.2.1支付方式：本项目费用分3次支付，具体支付金额如下：</w:t>
      </w:r>
    </w:p>
    <w:p>
      <w:pPr>
        <w:ind w:firstLine="480"/>
        <w:jc w:val="both"/>
      </w:pPr>
      <w:r>
        <w:rPr>
          <w:sz w:val="24"/>
        </w:rPr>
        <w:t>第一期费用项目运营经费的</w:t>
      </w:r>
      <w:r>
        <w:rPr>
          <w:sz w:val="24"/>
        </w:rPr>
        <w:t>80%，即人民币  （¥   元）；</w:t>
      </w:r>
    </w:p>
    <w:p>
      <w:pPr>
        <w:ind w:firstLine="480"/>
        <w:jc w:val="both"/>
      </w:pPr>
      <w:r>
        <w:rPr>
          <w:sz w:val="24"/>
        </w:rPr>
        <w:t>第二期费用项目运营经费的</w:t>
      </w:r>
      <w:r>
        <w:rPr>
          <w:sz w:val="24"/>
        </w:rPr>
        <w:t>20%，即人民币  （¥   元）；</w:t>
      </w:r>
    </w:p>
    <w:p>
      <w:pPr>
        <w:ind w:firstLine="480"/>
        <w:jc w:val="both"/>
      </w:pPr>
      <w:r>
        <w:rPr>
          <w:sz w:val="24"/>
        </w:rPr>
        <w:t>第三期费用项目服务奖励，即人民币</w:t>
      </w:r>
      <w:r>
        <w:rPr>
          <w:sz w:val="24"/>
        </w:rPr>
        <w:t xml:space="preserve"> </w:t>
      </w:r>
      <w:r>
        <w:rPr>
          <w:sz w:val="24"/>
        </w:rPr>
        <w:t>（</w:t>
      </w:r>
      <w:r>
        <w:rPr>
          <w:sz w:val="24"/>
        </w:rPr>
        <w:t>¥   元）。</w:t>
      </w:r>
    </w:p>
    <w:p>
      <w:pPr>
        <w:ind w:firstLine="480"/>
        <w:jc w:val="both"/>
      </w:pPr>
      <w:r>
        <w:rPr>
          <w:sz w:val="24"/>
        </w:rPr>
        <w:t>第一期经费拨付时间：本合同生效之日起，甲方收到乙方提供等额有效合法的发票后</w:t>
      </w:r>
      <w:r>
        <w:rPr>
          <w:sz w:val="24"/>
        </w:rPr>
        <w:t>15个工作日内向乙方支付第一期费用。</w:t>
      </w:r>
    </w:p>
    <w:p>
      <w:pPr>
        <w:ind w:firstLine="480"/>
        <w:jc w:val="both"/>
      </w:pPr>
      <w:r>
        <w:rPr>
          <w:sz w:val="24"/>
        </w:rPr>
        <w:t>第二期费用拨付时间：本合同生效之日起五个月后，由市或区民政部门以及养老服务指导单位委托第三方评估机构进行中期服务评估，评估结果为合格以上（含合格），甲方收到乙方提供等额有效合法的发票后</w:t>
      </w:r>
      <w:r>
        <w:rPr>
          <w:sz w:val="24"/>
        </w:rPr>
        <w:t>15个工作日内向乙方支付第二期费用；评估结果为不合格的，第二期合同经费将不予支付。</w:t>
      </w:r>
    </w:p>
    <w:p>
      <w:pPr>
        <w:ind w:firstLine="480"/>
        <w:jc w:val="both"/>
      </w:pPr>
      <w:r>
        <w:rPr>
          <w:sz w:val="24"/>
        </w:rPr>
        <w:t>第三期费用拨付时间：由市民政部门以及养老服务指导单位组织实施服务评估并出具评估结果。评估结果为优秀的，</w:t>
      </w:r>
      <w:r>
        <w:rPr>
          <w:sz w:val="24"/>
        </w:rPr>
        <w:t>甲方收到乙方提供等额有效合法的发票后</w:t>
      </w:r>
      <w:r>
        <w:rPr>
          <w:sz w:val="24"/>
        </w:rPr>
        <w:t>15个工作日内向乙方支付服务奖励人民币捌拾万元整（¥800,000.00元）；</w:t>
      </w:r>
      <w:r>
        <w:rPr>
          <w:sz w:val="24"/>
        </w:rPr>
        <w:t>评估结果为良好的，</w:t>
      </w:r>
      <w:r>
        <w:rPr>
          <w:sz w:val="24"/>
        </w:rPr>
        <w:t>甲方收到乙方提供等额有效合法的发票后</w:t>
      </w:r>
      <w:r>
        <w:rPr>
          <w:sz w:val="24"/>
        </w:rPr>
        <w:t>15个工作日内向乙方支付服务奖励人民币陆拾万元整（¥600,000.00元）；</w:t>
      </w:r>
      <w:r>
        <w:rPr>
          <w:sz w:val="24"/>
        </w:rPr>
        <w:t>评估结果为合格的，</w:t>
      </w:r>
      <w:r>
        <w:rPr>
          <w:sz w:val="24"/>
        </w:rPr>
        <w:t>甲方收到乙方提供等额有效合法的发票后</w:t>
      </w:r>
      <w:r>
        <w:rPr>
          <w:sz w:val="24"/>
        </w:rPr>
        <w:t>15个工作日内向乙方支付服务奖励人民币肆拾万元整（¥400,000.00元）；评估结果为不合格，第三期合同经费将不予支付。因服务质量不合格造成的损失由乙方自行承担。</w:t>
      </w:r>
    </w:p>
    <w:p>
      <w:pPr>
        <w:ind w:firstLine="480"/>
        <w:jc w:val="both"/>
      </w:pPr>
      <w:r>
        <w:rPr>
          <w:sz w:val="24"/>
        </w:rPr>
        <w:t>1.2.2</w:t>
      </w:r>
      <w:r>
        <w:rPr>
          <w:color w:val="000000"/>
          <w:sz w:val="24"/>
        </w:rPr>
        <w:t>甲方付款前，乙方应向甲方提供等额合法有效发票，乙方未提供发票或提供发票不符合要求的，甲方有权拒绝付款，且不承担逾期付款的任何责任。</w:t>
      </w:r>
    </w:p>
    <w:p>
      <w:pPr>
        <w:ind w:firstLine="480"/>
        <w:jc w:val="both"/>
      </w:pPr>
      <w:r>
        <w:rPr>
          <w:sz w:val="24"/>
        </w:rPr>
        <w:t>1.2.3</w:t>
      </w:r>
      <w:r>
        <w:rPr>
          <w:color w:val="000000"/>
          <w:sz w:val="24"/>
        </w:rPr>
        <w:t>因甲方使用的是财政资金，甲方在前款规定的付款时间为向政府</w:t>
      </w:r>
      <w:r>
        <w:rPr>
          <w:color w:val="000000"/>
          <w:sz w:val="24"/>
        </w:rPr>
        <w:t>财政</w:t>
      </w:r>
      <w:r>
        <w:rPr>
          <w:color w:val="000000"/>
          <w:sz w:val="24"/>
        </w:rPr>
        <w:t>支付部门提出办理财政支付申请手续的时间</w:t>
      </w:r>
      <w:r>
        <w:rPr>
          <w:color w:val="000000"/>
          <w:sz w:val="24"/>
        </w:rPr>
        <w:t>(不含政府财政支付部门审核的时间)，在规定时间内提出支付申请于续后即视为甲方已经按期支付。</w:t>
      </w:r>
    </w:p>
    <w:p>
      <w:pPr>
        <w:ind w:firstLine="480"/>
        <w:jc w:val="both"/>
      </w:pPr>
      <w:r>
        <w:rPr>
          <w:color w:val="000000"/>
          <w:sz w:val="24"/>
        </w:rPr>
        <w:t>1.2.4</w:t>
      </w:r>
      <w:r>
        <w:rPr>
          <w:color w:val="000000"/>
          <w:sz w:val="24"/>
        </w:rPr>
        <w:t>乙方指定收款银行账户：</w:t>
      </w:r>
    </w:p>
    <w:p>
      <w:pPr>
        <w:ind w:firstLine="480"/>
        <w:jc w:val="both"/>
      </w:pPr>
      <w:r>
        <w:rPr>
          <w:color w:val="000000"/>
          <w:sz w:val="24"/>
        </w:rPr>
        <w:t>乙方开户名称：</w:t>
      </w:r>
      <w:r>
        <w:rPr>
          <w:sz w:val="21"/>
          <w:u w:val="single"/>
        </w:rPr>
        <w:t xml:space="preserve">                            </w:t>
      </w:r>
    </w:p>
    <w:p>
      <w:pPr>
        <w:ind w:firstLine="480"/>
        <w:jc w:val="both"/>
      </w:pPr>
      <w:r>
        <w:rPr>
          <w:color w:val="000000"/>
          <w:sz w:val="24"/>
        </w:rPr>
        <w:t>乙方账号：</w:t>
      </w:r>
      <w:r>
        <w:rPr>
          <w:sz w:val="21"/>
          <w:u w:val="single"/>
        </w:rPr>
        <w:t xml:space="preserve">                                </w:t>
      </w:r>
    </w:p>
    <w:p>
      <w:pPr>
        <w:ind w:firstLine="480"/>
        <w:jc w:val="both"/>
      </w:pPr>
      <w:r>
        <w:rPr>
          <w:color w:val="000000"/>
          <w:sz w:val="24"/>
        </w:rPr>
        <w:t>乙方开户银行：</w:t>
      </w:r>
      <w:r>
        <w:rPr>
          <w:sz w:val="21"/>
          <w:u w:val="single"/>
        </w:rPr>
        <w:t xml:space="preserve">                            </w:t>
      </w:r>
    </w:p>
    <w:p>
      <w:pPr>
        <w:jc w:val="center"/>
      </w:pPr>
      <w:r>
        <w:rPr>
          <w:color w:val="000000"/>
          <w:sz w:val="24"/>
        </w:rPr>
        <w:t>二、项目需求</w:t>
      </w:r>
    </w:p>
    <w:p>
      <w:pPr>
        <w:ind w:firstLine="480"/>
        <w:jc w:val="both"/>
      </w:pPr>
      <w:r>
        <w:rPr>
          <w:color w:val="000000"/>
          <w:sz w:val="24"/>
        </w:rPr>
        <w:t>2.1 项目内容</w:t>
      </w:r>
    </w:p>
    <w:p>
      <w:pPr>
        <w:ind w:firstLine="480"/>
        <w:jc w:val="both"/>
      </w:pPr>
      <w:r>
        <w:rPr>
          <w:sz w:val="24"/>
        </w:rPr>
        <w:t>2.1.1运营管理服务内容</w:t>
      </w:r>
    </w:p>
    <w:p>
      <w:pPr>
        <w:ind w:firstLine="480"/>
        <w:jc w:val="both"/>
      </w:pPr>
      <w:r>
        <w:rPr>
          <w:color w:val="2C3E50"/>
          <w:sz w:val="24"/>
        </w:rPr>
        <w:t>服务机构根据《广州市居家社区养老服务管理办法》等文件要求，运营广州市南沙区综合养老服务中心。为本区各镇街居家养老服务人员提供专业技能培训和实训；巡查全区居家养老服务设施并梳理更新台账，及时发现存在问题并跟进整改情况；开展居家养老服务督查指导，梳理总结居家养老服务经验和不足；组织开展居家养老服务示范活动，加强居家养老服务宣传展示；设立养老服务向导，提供养老政策咨询、服务查询、办事指引、服务转介等服务，为开展居家养老服务提供必要的技术支持；协助</w:t>
      </w:r>
      <w:r>
        <w:rPr>
          <w:color w:val="2C3E50"/>
          <w:sz w:val="24"/>
        </w:rPr>
        <w:t>甲方</w:t>
      </w:r>
      <w:r>
        <w:rPr>
          <w:color w:val="2C3E50"/>
          <w:sz w:val="24"/>
        </w:rPr>
        <w:t>完成居家社区养老服务其他督导检查等相关工作事项。</w:t>
      </w:r>
    </w:p>
    <w:p>
      <w:pPr>
        <w:ind w:firstLine="480"/>
        <w:jc w:val="both"/>
      </w:pPr>
      <w:r>
        <w:rPr>
          <w:sz w:val="24"/>
        </w:rPr>
        <w:t>2.1.2面向周边社区居民服务内容</w:t>
      </w:r>
    </w:p>
    <w:p>
      <w:pPr>
        <w:ind w:firstLine="480"/>
        <w:jc w:val="both"/>
      </w:pPr>
      <w:r>
        <w:rPr>
          <w:sz w:val="24"/>
        </w:rPr>
        <w:t>根据广州市地方标准《社区居家养老服务规范》等相关文件要求，为南沙区综合养老服务中心周边村（居）的老年人提供生活照料、助餐配餐、定期巡访、辅具租赁、家庭照护培训、文体教育、日间托管、临时托养、医养康养、康复护理等服务。</w:t>
      </w:r>
    </w:p>
    <w:p>
      <w:pPr>
        <w:ind w:firstLine="480"/>
        <w:jc w:val="both"/>
      </w:pPr>
      <w:r>
        <w:rPr>
          <w:color w:val="000000"/>
          <w:sz w:val="24"/>
        </w:rPr>
        <w:t>2.2 服务区域：广州市南沙区</w:t>
      </w:r>
    </w:p>
    <w:p>
      <w:pPr>
        <w:ind w:firstLine="480"/>
        <w:jc w:val="both"/>
      </w:pPr>
      <w:r>
        <w:rPr>
          <w:color w:val="000000"/>
          <w:sz w:val="24"/>
        </w:rPr>
        <w:t>2.3 服务对象</w:t>
      </w:r>
    </w:p>
    <w:p>
      <w:pPr>
        <w:ind w:firstLine="480"/>
        <w:jc w:val="both"/>
      </w:pPr>
      <w:r>
        <w:rPr>
          <w:color w:val="000000"/>
          <w:sz w:val="24"/>
        </w:rPr>
        <w:t>为南沙区各街道（镇）居家养老综合服务平台及各街道（镇）综合养老服务中心、为南沙区综合养老服务中心周边村（居）的老年人群体提供服务，覆盖率须达到</w:t>
      </w:r>
      <w:r>
        <w:rPr>
          <w:color w:val="000000"/>
          <w:sz w:val="24"/>
        </w:rPr>
        <w:t>100%。</w:t>
      </w:r>
    </w:p>
    <w:p>
      <w:pPr>
        <w:ind w:firstLine="480"/>
        <w:jc w:val="both"/>
      </w:pPr>
      <w:r>
        <w:rPr>
          <w:color w:val="000000"/>
          <w:sz w:val="24"/>
        </w:rPr>
        <w:t>2.4 机构人员要求</w:t>
      </w:r>
    </w:p>
    <w:p>
      <w:pPr>
        <w:ind w:firstLine="480"/>
        <w:jc w:val="both"/>
      </w:pPr>
      <w:r>
        <w:rPr>
          <w:sz w:val="24"/>
        </w:rPr>
        <w:t>2.4.1乙方应为本项目配备至少16名工作人员（均需具有本科及以上学历），其中全职工作人员不少于14名，若干兼职工作人员，包括执业医师2名（可兼职），执业护士2名，康复治疗师2名，社会工作师（含助理级）4名，养老护理员1名，其他全职人员5名。其中，指定一名为全职项目负责人，须具有高校本科及以上学历，持社工或相关专业资格中级以上证书，具有5年以上养老服务管理工作经验。</w:t>
      </w:r>
    </w:p>
    <w:p>
      <w:pPr>
        <w:ind w:firstLine="480"/>
        <w:jc w:val="both"/>
      </w:pPr>
      <w:r>
        <w:rPr>
          <w:sz w:val="24"/>
        </w:rPr>
        <w:t>乙方应根据本项目工作内容，组建运营管理组和养老服务组。运营管理组需包含社会工作师（含助理级）</w:t>
      </w:r>
      <w:r>
        <w:rPr>
          <w:sz w:val="24"/>
        </w:rPr>
        <w:t>2名，执业护士1名，其他全职人员3名；其中，指定一名为项目主管，须具有高校本科及以上学历，持社工或相关专业资格证书，具有2年以上养老服务管理工作经验。养老服务组需包含执业医师（可兼职）2名，执业护士1名，康复治疗师2名，养老护理员1名，社会工作师（含助理级）1名，其他全职人员2名；其中，指定一名为项目主管，须具有高校本科及以上学历，持社工或相关专业资格证书，具有2年以上养老服务管理工作经验。执业医生和执业护士须持有医护相关专业技术证书。社会工作师（含助理级）须持有初级以上社工证书。养老护理员须持有养老护理相关专业技术证书。所有人员均须熟悉和掌握关于市、区关于居家社区养老服务的各项政策规定，并能为镇街开展居家社区养老各项服务提供专业指导与咨询答疑。</w:t>
      </w:r>
    </w:p>
    <w:p>
      <w:pPr>
        <w:ind w:firstLine="480"/>
        <w:jc w:val="both"/>
      </w:pPr>
      <w:r>
        <w:rPr>
          <w:sz w:val="24"/>
        </w:rPr>
        <w:t>乙方承诺在服务期内必须保证投入的工作人员数量不能减少，服务期中如有人事变动问题，须提前征得甲方同意并向甲方报备，保证能及时配齐报价时承诺投入的人员。项目负责人和项目主管人选须经甲方审核通过后方能上岗。若在项目开展中，需更换项目负责人的，应提前</w:t>
      </w:r>
      <w:r>
        <w:rPr>
          <w:sz w:val="24"/>
        </w:rPr>
        <w:t>1个月书面告知甲方并征得甲方同意，项目团队人员更换须向甲方报备同意后方可录用。承接机构若未按要求为本项目配齐具有资质的工作人员，按照空缺的人员数量和月数扣除相应费用（根据《广州市政府购买社区居家养老服务项目指引》中相关工作人员经费标准规定进行扣除）。承接机构及其工作人员开展业务或提供专业服务咨询答疑，均须遵守有关法律法规和专业技术规范的要求，确保合法性及专业性，杜绝安全风险及隐患，保障服务对象的相关合法权益。</w:t>
      </w:r>
    </w:p>
    <w:p>
      <w:pPr>
        <w:ind w:firstLine="480"/>
        <w:jc w:val="both"/>
      </w:pPr>
      <w:r>
        <w:rPr>
          <w:sz w:val="24"/>
        </w:rPr>
        <w:t>2.4.2乙方应保证提供上门生活照料服务的，保障上门服务人员与服务对象的比例不低于1：10。</w:t>
      </w:r>
    </w:p>
    <w:p>
      <w:pPr>
        <w:ind w:firstLine="480"/>
        <w:jc w:val="both"/>
      </w:pPr>
      <w:r>
        <w:rPr>
          <w:sz w:val="24"/>
        </w:rPr>
        <w:t>2.4.3乙方应保证提供康复护理服务的，护理人员与服务对象的配备比例不低于1：10，护理人员应具有护理、康复治疗专业技术教育背景或从业资格。</w:t>
      </w:r>
    </w:p>
    <w:p>
      <w:pPr>
        <w:ind w:firstLine="480"/>
        <w:jc w:val="both"/>
      </w:pPr>
      <w:r>
        <w:rPr>
          <w:sz w:val="24"/>
        </w:rPr>
        <w:t>2.4.4乙方应保证提供医疗保健类服务的，应配备执业医生、执业护士、康复治疗师、技师等专业人员。</w:t>
      </w:r>
    </w:p>
    <w:p>
      <w:pPr>
        <w:ind w:firstLine="480"/>
        <w:jc w:val="both"/>
      </w:pPr>
      <w:r>
        <w:rPr>
          <w:sz w:val="24"/>
        </w:rPr>
        <w:t>2.4.5乙方应配备具有财务专业教育背景或持有财会职业资格证书的人员管理财务。</w:t>
      </w:r>
    </w:p>
    <w:p>
      <w:pPr>
        <w:ind w:firstLine="480"/>
        <w:jc w:val="both"/>
      </w:pPr>
      <w:r>
        <w:rPr>
          <w:sz w:val="24"/>
        </w:rPr>
        <w:t>2.4.6乙方应保证工作人员接受符合相关政策规定的岗前培训和在岗培训，上岗前接受不少于10学时的岗前培训。</w:t>
      </w:r>
    </w:p>
    <w:p>
      <w:pPr>
        <w:ind w:firstLine="480"/>
        <w:jc w:val="both"/>
      </w:pPr>
      <w:r>
        <w:rPr>
          <w:sz w:val="24"/>
        </w:rPr>
        <w:t>2.4.7乙方须为本项目配齐具有资质并相对稳定的工作人员，项目期间人员变动不能超过8人次，其中项目负责人不能超过2人次。若项目开展期间人员流动超过8人次或项目开展一个月后仍未配齐具有资质的工作人员，乙方应当向甲方支付本合同总费用的2%作为违约金。</w:t>
      </w:r>
    </w:p>
    <w:p>
      <w:pPr>
        <w:ind w:firstLine="480"/>
        <w:jc w:val="both"/>
      </w:pPr>
      <w:r>
        <w:rPr>
          <w:sz w:val="24"/>
        </w:rPr>
        <w:t>2.4.7乙方根据项目需要，需安排1-2名工作人员，到甲方对接和具体跟进项目有关专项工作，人员资质及工作经验要求需与甲方协商确认。</w:t>
      </w:r>
    </w:p>
    <w:p>
      <w:pPr>
        <w:ind w:firstLine="480"/>
        <w:jc w:val="both"/>
      </w:pPr>
      <w:r>
        <w:rPr>
          <w:sz w:val="24"/>
        </w:rPr>
        <w:t>2.5 服务要求</w:t>
      </w:r>
    </w:p>
    <w:p>
      <w:pPr>
        <w:ind w:firstLine="480"/>
        <w:jc w:val="both"/>
      </w:pPr>
      <w:r>
        <w:rPr>
          <w:sz w:val="24"/>
        </w:rPr>
        <w:t>2.5.1</w:t>
      </w:r>
      <w:r>
        <w:rPr>
          <w:color w:val="000000"/>
          <w:sz w:val="24"/>
        </w:rPr>
        <w:t>乙方统一纳入广州市居家养老综合信</w:t>
      </w:r>
      <w:r>
        <w:rPr>
          <w:sz w:val="24"/>
        </w:rPr>
        <w:t>息服务平台供应商库，严格按照《广州市居家社区养老服务管理办法》和广州市地方标准《社区居家养老服务规范》等相关文件的要求开展服务。</w:t>
      </w:r>
    </w:p>
    <w:p>
      <w:pPr>
        <w:ind w:firstLine="480"/>
        <w:jc w:val="both"/>
      </w:pPr>
      <w:r>
        <w:rPr>
          <w:sz w:val="24"/>
        </w:rPr>
        <w:t>2.5.2</w:t>
      </w:r>
      <w:r>
        <w:rPr>
          <w:sz w:val="24"/>
        </w:rPr>
        <w:t>按照合同等约定履行提供服务的义务，认真组织实施项目，按时完成项目任务，保证服务</w:t>
      </w:r>
      <w:r>
        <w:rPr>
          <w:sz w:val="24"/>
        </w:rPr>
        <w:t>质量</w:t>
      </w:r>
      <w:r>
        <w:rPr>
          <w:sz w:val="24"/>
        </w:rPr>
        <w:t>、</w:t>
      </w:r>
      <w:r>
        <w:rPr>
          <w:sz w:val="24"/>
        </w:rPr>
        <w:t>数量</w:t>
      </w:r>
      <w:r>
        <w:rPr>
          <w:sz w:val="24"/>
        </w:rPr>
        <w:t>和效果，主动接受有关部门、服务对象及社会监督，严禁乙方将服务项目交由其他服务供应机构实际承担的转包行为。</w:t>
      </w:r>
    </w:p>
    <w:p>
      <w:pPr>
        <w:ind w:firstLine="480"/>
        <w:jc w:val="both"/>
      </w:pPr>
      <w:r>
        <w:rPr>
          <w:sz w:val="24"/>
        </w:rPr>
        <w:t>2.5.3</w:t>
      </w:r>
      <w:r>
        <w:rPr>
          <w:sz w:val="24"/>
        </w:rPr>
        <w:t>严格按照合同等约定使用平台服务设施，严禁擅自改变服务设施功能和用途，主动接受政府部门管理和指导，认真落实消防、环保、卫生、安全管理等相关法律法规要求。</w:t>
      </w:r>
    </w:p>
    <w:p>
      <w:pPr>
        <w:ind w:firstLine="480"/>
        <w:jc w:val="both"/>
      </w:pPr>
      <w:r>
        <w:rPr>
          <w:sz w:val="24"/>
        </w:rPr>
        <w:t>2.5.4</w:t>
      </w:r>
      <w:r>
        <w:rPr>
          <w:sz w:val="24"/>
        </w:rPr>
        <w:t>对辖区内各街道（镇）居家养老综合服务平台、各街道（镇）综合养老服务中心、为南沙区综合养老服务中心周边村居的老年人提供服务，覆盖率须达到</w:t>
      </w:r>
      <w:r>
        <w:rPr>
          <w:sz w:val="24"/>
        </w:rPr>
        <w:t>100%。</w:t>
      </w:r>
    </w:p>
    <w:p>
      <w:pPr>
        <w:ind w:firstLine="640"/>
      </w:pPr>
      <w:r>
        <w:rPr>
          <w:sz w:val="24"/>
        </w:rPr>
        <w:t>2.5.5 能够及时跟进街道（镇）居家养老综合服务平台、街道（镇）综合养老服务中心的工作开展情况，做好相应的督查指导，对街道（镇）开展服务的情况实现“一街（镇）一档”。入档材料包括</w:t>
      </w:r>
      <w:r>
        <w:rPr>
          <w:sz w:val="24"/>
        </w:rPr>
        <w:t>街道（镇）的平台</w:t>
      </w:r>
      <w:r>
        <w:rPr>
          <w:sz w:val="24"/>
        </w:rPr>
        <w:t>及街道（镇）综合养老服务中心</w:t>
      </w:r>
      <w:r>
        <w:rPr>
          <w:sz w:val="24"/>
        </w:rPr>
        <w:t>信息、服务设施台账、服务对象台账、相关督导检查记录等。</w:t>
      </w:r>
    </w:p>
    <w:p>
      <w:pPr>
        <w:ind w:firstLine="640"/>
      </w:pPr>
      <w:r>
        <w:rPr>
          <w:sz w:val="24"/>
        </w:rPr>
        <w:t>2.5.6 为服务对象制定详细具体的服务方案，并做好服务记录。</w:t>
      </w:r>
    </w:p>
    <w:p>
      <w:pPr>
        <w:ind w:firstLine="640"/>
      </w:pPr>
      <w:r>
        <w:rPr>
          <w:sz w:val="24"/>
        </w:rPr>
        <w:t>2.5.7 服务项目任务指标完成率达到100%，服务对象满意率达到80%以上。</w:t>
      </w:r>
    </w:p>
    <w:p>
      <w:pPr>
        <w:ind w:firstLine="640"/>
      </w:pPr>
      <w:r>
        <w:rPr>
          <w:sz w:val="24"/>
        </w:rPr>
        <w:t>2.5.8 接受市、区民政部门的监督指导，发现问题逐项进行整改，拒不整改或两次整改后仍不符合相关规范要求的，视情节严重予以扣除一定比例经费作为违约金或解除合同处理。</w:t>
      </w:r>
    </w:p>
    <w:p>
      <w:pPr>
        <w:ind w:firstLine="480"/>
        <w:jc w:val="both"/>
      </w:pPr>
      <w:r>
        <w:rPr>
          <w:sz w:val="24"/>
        </w:rPr>
        <w:t>2.5.9</w:t>
      </w:r>
      <w:r>
        <w:rPr>
          <w:sz w:val="24"/>
        </w:rPr>
        <w:t>设立</w:t>
      </w:r>
      <w:r>
        <w:rPr>
          <w:sz w:val="24"/>
        </w:rPr>
        <w:t>专项资金收支账户</w:t>
      </w:r>
      <w:r>
        <w:rPr>
          <w:sz w:val="24"/>
        </w:rPr>
        <w:t>，具有合理、详细的项目经费使用计划和预算明细，严格遵守相关财政财务规定，加强自身监督，确保政府购买服务项目资金规范管理和使用，</w:t>
      </w:r>
      <w:r>
        <w:rPr>
          <w:sz w:val="24"/>
        </w:rPr>
        <w:t>每月</w:t>
      </w:r>
      <w:r>
        <w:rPr>
          <w:sz w:val="24"/>
        </w:rPr>
        <w:t>及时向甲方提供资金的使用情况、项目执行情况、成果总结等材料。</w:t>
      </w:r>
    </w:p>
    <w:p>
      <w:pPr>
        <w:ind w:firstLine="480"/>
        <w:jc w:val="both"/>
      </w:pPr>
      <w:r>
        <w:rPr>
          <w:sz w:val="24"/>
        </w:rPr>
        <w:t>2.5.10 乙方应每月底要进行账务核对并形成项目资金收支明细相关报表（包括但不限于运营管理人工成本、运营管理服务费用、项目管理费用），于次月5号前报甲方备案，以确保本项目资金用于开展本项目服务。</w:t>
      </w:r>
    </w:p>
    <w:p>
      <w:pPr>
        <w:ind w:firstLine="480"/>
        <w:jc w:val="both"/>
      </w:pPr>
      <w:r>
        <w:rPr>
          <w:sz w:val="24"/>
        </w:rPr>
        <w:t>2.5.11</w:t>
      </w:r>
      <w:r>
        <w:rPr>
          <w:sz w:val="24"/>
        </w:rPr>
        <w:t>建立服务风险防范制度，依照有关政策规定为工作人员购买相关保险。</w:t>
      </w:r>
    </w:p>
    <w:p>
      <w:pPr>
        <w:ind w:firstLine="480"/>
        <w:jc w:val="both"/>
      </w:pPr>
      <w:r>
        <w:rPr>
          <w:sz w:val="24"/>
        </w:rPr>
        <w:t>2.5.12</w:t>
      </w:r>
      <w:r>
        <w:rPr>
          <w:sz w:val="24"/>
        </w:rPr>
        <w:t>建立完善的规章制度和工作流程，包括财务、人事、运营、公共安全、卫生、资产、服务等方面的管理制度和应急措施</w:t>
      </w:r>
      <w:r>
        <w:rPr>
          <w:sz w:val="24"/>
        </w:rPr>
        <w:t>。</w:t>
      </w:r>
    </w:p>
    <w:p>
      <w:pPr>
        <w:ind w:firstLine="480"/>
        <w:jc w:val="both"/>
      </w:pPr>
      <w:r>
        <w:rPr>
          <w:sz w:val="24"/>
        </w:rPr>
        <w:t>2.5.13 乙方须为本项目配备专门的工作车辆并提供必要的设施设备。</w:t>
      </w:r>
    </w:p>
    <w:p>
      <w:pPr>
        <w:ind w:firstLine="643"/>
        <w:jc w:val="both"/>
      </w:pPr>
      <w:r>
        <w:rPr>
          <w:sz w:val="24"/>
        </w:rPr>
        <w:t>2.6</w:t>
      </w:r>
      <w:r>
        <w:rPr>
          <w:sz w:val="24"/>
        </w:rPr>
        <w:t>服务收费</w:t>
      </w:r>
    </w:p>
    <w:p>
      <w:pPr>
        <w:ind w:firstLine="480"/>
        <w:jc w:val="both"/>
      </w:pPr>
      <w:r>
        <w:rPr>
          <w:sz w:val="24"/>
        </w:rPr>
        <w:t>承接机构开展的服务项目费用按照《广州市社区居家养老服务项目清单与指导参考价（试行）》（穗居家养老服务指导中心办〔</w:t>
      </w:r>
      <w:r>
        <w:rPr>
          <w:sz w:val="24"/>
        </w:rPr>
        <w:t>2018〕6号）的要求执行，由区民政局与承接机构商定并进行公示。</w:t>
      </w:r>
    </w:p>
    <w:p>
      <w:pPr>
        <w:ind w:firstLine="480"/>
        <w:jc w:val="both"/>
      </w:pPr>
      <w:r>
        <w:rPr>
          <w:sz w:val="24"/>
        </w:rPr>
        <w:t>2.7 服务指标</w:t>
      </w:r>
    </w:p>
    <w:p>
      <w:pPr>
        <w:ind w:firstLine="480"/>
        <w:jc w:val="left"/>
      </w:pPr>
      <w:r>
        <w:rPr>
          <w:sz w:val="24"/>
        </w:rPr>
        <w:t>本项目至少配备</w:t>
      </w:r>
      <w:r>
        <w:rPr>
          <w:sz w:val="24"/>
        </w:rPr>
        <w:t>16名工作人员（其中全职工作人员不少于14名）及若干名兼职工作人员，结合本区实际和项目服务内容，具体指标安排详见下表。</w:t>
      </w:r>
    </w:p>
    <w:p>
      <w:pPr>
        <w:jc w:val="center"/>
      </w:pPr>
      <w:r>
        <w:rPr>
          <w:sz w:val="24"/>
        </w:rPr>
        <w:t>表</w:t>
      </w:r>
      <w:r>
        <w:rPr>
          <w:sz w:val="24"/>
        </w:rPr>
        <w:t>1 服务指标表</w:t>
      </w:r>
    </w:p>
    <w:tbl>
      <w:tblPr>
        <w:tblW w:w="0" w:type="auto"/>
        <w:tblBorders>
          <w:top w:val="none" w:color="000000" w:sz="4"/>
          <w:left w:val="none" w:color="000000" w:sz="4"/>
          <w:bottom w:val="none" w:color="000000" w:sz="4"/>
          <w:right w:val="none" w:color="000000" w:sz="4"/>
          <w:insideH w:val="none"/>
          <w:insideV w:val="none"/>
        </w:tblBorders>
      </w:tblPr>
      <w:tblGrid>
        <w:gridCol w:w="804"/>
        <w:gridCol w:w="1374"/>
        <w:gridCol w:w="5220"/>
        <w:gridCol w:w="877"/>
      </w:tblGrid>
      <w:tr>
        <w:tc>
          <w:tcPr>
            <w:tcW w:type="dxa" w:w="804"/>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1374"/>
            <w:tcBorders>
              <w:top w:val="single" w:color="000000" w:sz="4"/>
              <w:left w:val="none" w:color="000000" w:sz="4"/>
              <w:bottom w:val="single" w:color="000000" w:sz="4"/>
              <w:right w:val="single" w:color="000000" w:sz="4"/>
            </w:tcBorders>
            <w:vAlign w:val="top"/>
          </w:tcPr>
          <w:p>
            <w:pPr>
              <w:jc w:val="center"/>
            </w:pPr>
            <w:r>
              <w:rPr>
                <w:sz w:val="24"/>
              </w:rPr>
              <w:t>服务事项</w:t>
            </w:r>
          </w:p>
        </w:tc>
        <w:tc>
          <w:tcPr>
            <w:tcW w:type="dxa" w:w="5220"/>
            <w:tcBorders>
              <w:top w:val="single" w:color="000000" w:sz="4"/>
              <w:left w:val="none" w:color="000000" w:sz="4"/>
              <w:bottom w:val="single" w:color="000000" w:sz="4"/>
              <w:right w:val="single" w:color="000000" w:sz="4"/>
            </w:tcBorders>
            <w:vAlign w:val="top"/>
          </w:tcPr>
          <w:p>
            <w:pPr>
              <w:jc w:val="center"/>
            </w:pPr>
            <w:r>
              <w:rPr>
                <w:sz w:val="24"/>
              </w:rPr>
              <w:t>服务内容</w:t>
            </w:r>
          </w:p>
        </w:tc>
        <w:tc>
          <w:tcPr>
            <w:tcW w:type="dxa" w:w="877"/>
            <w:tcBorders>
              <w:top w:val="single" w:color="000000" w:sz="4"/>
              <w:left w:val="none" w:color="000000" w:sz="4"/>
              <w:bottom w:val="single" w:color="000000" w:sz="4"/>
              <w:right w:val="single" w:color="000000" w:sz="4"/>
            </w:tcBorders>
            <w:vAlign w:val="top"/>
          </w:tcPr>
          <w:p>
            <w:pPr>
              <w:jc w:val="center"/>
            </w:pPr>
            <w:r>
              <w:rPr>
                <w:sz w:val="24"/>
              </w:rPr>
              <w:t>备注</w:t>
            </w:r>
          </w:p>
        </w:tc>
      </w:tr>
      <w:tr>
        <w:tc>
          <w:tcPr>
            <w:tcW w:type="dxa" w:w="804"/>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374"/>
            <w:tcBorders>
              <w:top w:val="none" w:color="000000" w:sz="4"/>
              <w:left w:val="none" w:color="000000" w:sz="4"/>
              <w:bottom w:val="single" w:color="000000" w:sz="4"/>
              <w:right w:val="single" w:color="000000" w:sz="4"/>
            </w:tcBorders>
            <w:vAlign w:val="top"/>
          </w:tcPr>
          <w:p>
            <w:pPr>
              <w:jc w:val="center"/>
            </w:pPr>
            <w:r>
              <w:rPr>
                <w:sz w:val="24"/>
              </w:rPr>
              <w:t>居家社区养老服务人员实训</w:t>
            </w:r>
          </w:p>
        </w:tc>
        <w:tc>
          <w:tcPr>
            <w:tcW w:type="dxa" w:w="5220"/>
            <w:tcBorders>
              <w:top w:val="none" w:color="000000" w:sz="4"/>
              <w:left w:val="none" w:color="000000" w:sz="4"/>
              <w:bottom w:val="single" w:color="000000" w:sz="4"/>
              <w:right w:val="single" w:color="000000" w:sz="4"/>
            </w:tcBorders>
            <w:vAlign w:val="top"/>
          </w:tcPr>
          <w:p>
            <w:pPr>
              <w:jc w:val="left"/>
            </w:pPr>
            <w:r>
              <w:rPr>
                <w:sz w:val="24"/>
              </w:rPr>
              <w:t>针对全区的居家社区养老服务管理人员、养老护理员、专业技术工作人员等从业人员开展专业能力知识及技能指导培训；其他根据服务事项的培训要定期开展实施。每月开展不少于</w:t>
            </w:r>
            <w:r>
              <w:rPr>
                <w:sz w:val="24"/>
              </w:rPr>
              <w:t>1次培训。</w:t>
            </w:r>
          </w:p>
        </w:tc>
        <w:tc>
          <w:tcPr>
            <w:tcW w:type="dxa" w:w="877"/>
            <w:tcBorders>
              <w:top w:val="none" w:color="000000" w:sz="4"/>
              <w:left w:val="none" w:color="000000" w:sz="4"/>
              <w:bottom w:val="single" w:color="000000" w:sz="4"/>
              <w:right w:val="single" w:color="000000" w:sz="4"/>
            </w:tcBorders>
            <w:vAlign w:val="top"/>
          </w:tcPr>
          <w:p>
            <w:pPr>
              <w:jc w:val="left"/>
            </w:pPr>
          </w:p>
        </w:tc>
      </w:tr>
      <w:tr>
        <w:tc>
          <w:tcPr>
            <w:tcW w:type="dxa" w:w="804"/>
            <w:tcBorders>
              <w:top w:val="none" w:color="000000" w:sz="4"/>
              <w:left w:val="single" w:color="000000" w:sz="4"/>
              <w:bottom w:val="single" w:color="000000" w:sz="4"/>
              <w:right w:val="single" w:color="000000" w:sz="4"/>
            </w:tcBorders>
            <w:vAlign w:val="top"/>
          </w:tcPr>
          <w:p>
            <w:pPr>
              <w:jc w:val="center"/>
            </w:pPr>
            <w:r>
              <w:rPr>
                <w:sz w:val="24"/>
              </w:rPr>
              <w:t>2</w:t>
            </w:r>
          </w:p>
        </w:tc>
        <w:tc>
          <w:tcPr>
            <w:tcW w:type="dxa" w:w="1374"/>
            <w:tcBorders>
              <w:top w:val="none" w:color="000000" w:sz="4"/>
              <w:left w:val="none" w:color="000000" w:sz="4"/>
              <w:bottom w:val="single" w:color="000000" w:sz="4"/>
              <w:right w:val="single" w:color="000000" w:sz="4"/>
            </w:tcBorders>
            <w:vAlign w:val="top"/>
          </w:tcPr>
          <w:p>
            <w:pPr>
              <w:jc w:val="center"/>
            </w:pPr>
            <w:r>
              <w:rPr>
                <w:sz w:val="24"/>
              </w:rPr>
              <w:t>居家养老服务设施巡查指导</w:t>
            </w:r>
          </w:p>
        </w:tc>
        <w:tc>
          <w:tcPr>
            <w:tcW w:type="dxa" w:w="5220"/>
            <w:tcBorders>
              <w:top w:val="none" w:color="000000" w:sz="4"/>
              <w:left w:val="none" w:color="000000" w:sz="4"/>
              <w:bottom w:val="single" w:color="000000" w:sz="4"/>
              <w:right w:val="single" w:color="000000" w:sz="4"/>
            </w:tcBorders>
            <w:vAlign w:val="top"/>
          </w:tcPr>
          <w:p>
            <w:pPr>
              <w:jc w:val="left"/>
            </w:pPr>
            <w:r>
              <w:rPr>
                <w:sz w:val="24"/>
              </w:rPr>
              <w:t>梳理并动态更新全区居家社区养老服务设施台账；定期走访各镇街综合养老服务中心及其他居家社区养老服务设施等，每月巡访督导各镇街不少于</w:t>
            </w:r>
            <w:r>
              <w:rPr>
                <w:sz w:val="24"/>
              </w:rPr>
              <w:t>1次，并形成巡查督导书面材料。</w:t>
            </w:r>
          </w:p>
        </w:tc>
        <w:tc>
          <w:tcPr>
            <w:tcW w:type="dxa" w:w="877"/>
            <w:tcBorders>
              <w:top w:val="none" w:color="000000" w:sz="4"/>
              <w:left w:val="none" w:color="000000" w:sz="4"/>
              <w:bottom w:val="single" w:color="000000" w:sz="4"/>
              <w:right w:val="single" w:color="000000" w:sz="4"/>
            </w:tcBorders>
            <w:vAlign w:val="top"/>
          </w:tcPr>
          <w:p>
            <w:pPr>
              <w:jc w:val="left"/>
            </w:pPr>
          </w:p>
        </w:tc>
      </w:tr>
      <w:tr>
        <w:tc>
          <w:tcPr>
            <w:tcW w:type="dxa" w:w="804"/>
            <w:tcBorders>
              <w:top w:val="none" w:color="000000" w:sz="4"/>
              <w:left w:val="single" w:color="000000" w:sz="4"/>
              <w:bottom w:val="single" w:color="000000" w:sz="4"/>
              <w:right w:val="single" w:color="000000" w:sz="4"/>
            </w:tcBorders>
            <w:vAlign w:val="top"/>
          </w:tcPr>
          <w:p>
            <w:pPr>
              <w:jc w:val="center"/>
            </w:pPr>
            <w:r>
              <w:rPr>
                <w:sz w:val="24"/>
              </w:rPr>
              <w:t>3</w:t>
            </w:r>
          </w:p>
        </w:tc>
        <w:tc>
          <w:tcPr>
            <w:tcW w:type="dxa" w:w="1374"/>
            <w:tcBorders>
              <w:top w:val="none" w:color="000000" w:sz="4"/>
              <w:left w:val="none" w:color="000000" w:sz="4"/>
              <w:bottom w:val="single" w:color="000000" w:sz="4"/>
              <w:right w:val="single" w:color="000000" w:sz="4"/>
            </w:tcBorders>
            <w:vAlign w:val="top"/>
          </w:tcPr>
          <w:p>
            <w:pPr>
              <w:jc w:val="center"/>
            </w:pPr>
            <w:r>
              <w:rPr>
                <w:sz w:val="24"/>
              </w:rPr>
              <w:t>居家养老服务质量监督</w:t>
            </w:r>
          </w:p>
        </w:tc>
        <w:tc>
          <w:tcPr>
            <w:tcW w:type="dxa" w:w="5220"/>
            <w:tcBorders>
              <w:top w:val="none" w:color="000000" w:sz="4"/>
              <w:left w:val="none" w:color="000000" w:sz="4"/>
              <w:bottom w:val="single" w:color="000000" w:sz="4"/>
              <w:right w:val="single" w:color="000000" w:sz="4"/>
            </w:tcBorders>
            <w:vAlign w:val="top"/>
          </w:tcPr>
          <w:p>
            <w:pPr>
              <w:jc w:val="both"/>
            </w:pPr>
            <w:r>
              <w:rPr>
                <w:sz w:val="24"/>
              </w:rPr>
              <w:t>1.配合服务购买方实施全区居家社区养老服务设施、居家养老上门服务、助餐配餐服务、服务项目评估、老年人照护需求等级评估、家庭养老床位建设和服务、适老化改造、特困人员照料护理、特殊困难老年人巡防等工作的监督指导，核实居家社区养老服务对象的资助资格、服务方案和服务协议等信息，每月至少开展1次现场工作检查，每月形成1份工作情况总结。</w:t>
            </w:r>
          </w:p>
          <w:p>
            <w:pPr>
              <w:jc w:val="both"/>
            </w:pPr>
            <w:r>
              <w:rPr>
                <w:sz w:val="24"/>
              </w:rPr>
              <w:t>2.使用广州市居家养老综合信息服务平台等系统，按每镇街20%的覆盖率抽查各镇街居家养老上门服务记录，按每镇街0.5%的覆盖率抽查助餐配餐服务记录，</w:t>
            </w:r>
            <w:r>
              <w:rPr>
                <w:sz w:val="24"/>
              </w:rPr>
              <w:t>每月对全区补录和离线工单进行全面核查，每月补录和离线工单核查率达</w:t>
            </w:r>
            <w:r>
              <w:rPr>
                <w:sz w:val="24"/>
              </w:rPr>
              <w:t>100%，</w:t>
            </w:r>
            <w:r>
              <w:rPr>
                <w:sz w:val="24"/>
              </w:rPr>
              <w:t>每月形成</w:t>
            </w:r>
            <w:r>
              <w:rPr>
                <w:sz w:val="24"/>
              </w:rPr>
              <w:t>1份工单核查台账。</w:t>
            </w:r>
          </w:p>
          <w:p>
            <w:pPr>
              <w:jc w:val="both"/>
            </w:pPr>
            <w:r>
              <w:rPr>
                <w:sz w:val="24"/>
              </w:rPr>
              <w:t>3.通过电访和入户走访的方式开展居家社区养老服务情况核查，跟进服务开展情况，每月电访不少于100户服务对象，实地走访不少于10户，每月形成服务核查台账1份，对发现的问题及时跟进整改情况。</w:t>
            </w:r>
          </w:p>
          <w:p>
            <w:pPr>
              <w:jc w:val="both"/>
            </w:pPr>
            <w:r>
              <w:rPr>
                <w:sz w:val="24"/>
              </w:rPr>
              <w:t>4.每月梳理服务工单抽查、电访和入户走访等相关情况，并形成月度通报一份。</w:t>
            </w:r>
          </w:p>
          <w:p>
            <w:pPr>
              <w:jc w:val="both"/>
            </w:pPr>
            <w:r>
              <w:rPr>
                <w:sz w:val="24"/>
              </w:rPr>
              <w:t>5.按照市评估体系及有关规定，协助落实9个镇街服务项目中期和末期评估工作，跟进评估问题整改工作，形成问题整改台账并动态更新整改情况。</w:t>
            </w:r>
          </w:p>
          <w:p>
            <w:pPr>
              <w:jc w:val="both"/>
            </w:pPr>
            <w:r>
              <w:rPr>
                <w:sz w:val="24"/>
              </w:rPr>
              <w:t>6.协助跟进“党建+”农村邻里互助养老服务试点项目日常服务开展情况，核查服务真实性，开展优秀互助养老员和党员志愿者评优评先工作，并做好相关记录台账。</w:t>
            </w:r>
            <w:r>
              <w:rPr>
                <w:sz w:val="24"/>
              </w:rPr>
              <w:t>组织专家对</w:t>
            </w:r>
            <w:r>
              <w:rPr>
                <w:sz w:val="24"/>
              </w:rPr>
              <w:t>“党建+”农村邻里互助养老服务试点项目进行中期和末期评估，加强服务过程监督；总结梳理试点项目经验，巩固试点项目成效，保障服务质量。</w:t>
            </w:r>
            <w:r>
              <w:br/>
            </w:r>
            <w:r>
              <w:rPr>
                <w:sz w:val="24"/>
              </w:rPr>
              <w:t>7.每月检查各镇街综合养老服务中心的服务对象花名册、通过电访或入户探访等形式核查特殊困难老年人巡访相关报表及台账的真实性。</w:t>
            </w:r>
          </w:p>
          <w:p>
            <w:pPr>
              <w:jc w:val="both"/>
            </w:pPr>
            <w:r>
              <w:rPr>
                <w:sz w:val="24"/>
              </w:rPr>
              <w:t>8.实施“一镇（街）一档案”管理模式，每个镇街形成1份管理档案，并每月更新1次。</w:t>
            </w:r>
          </w:p>
          <w:p>
            <w:pPr>
              <w:jc w:val="both"/>
            </w:pPr>
            <w:r>
              <w:rPr>
                <w:sz w:val="24"/>
              </w:rPr>
              <w:t>9.每月按市、区关于居家社区养老服务月度报告及工单核查统计的相关要求，形成月度报表并按期报送。</w:t>
            </w:r>
          </w:p>
          <w:p>
            <w:pPr>
              <w:jc w:val="both"/>
            </w:pPr>
            <w:r>
              <w:rPr>
                <w:sz w:val="24"/>
              </w:rPr>
              <w:t>10.完成服务购买方交办的关于居家社区养老服务其他督导检查等工作事项。</w:t>
            </w:r>
          </w:p>
          <w:p>
            <w:pPr>
              <w:jc w:val="both"/>
            </w:pPr>
          </w:p>
          <w:p>
            <w:pPr>
              <w:jc w:val="both"/>
            </w:pPr>
          </w:p>
          <w:p>
            <w:pPr>
              <w:jc w:val="both"/>
            </w:pPr>
          </w:p>
        </w:tc>
        <w:tc>
          <w:tcPr>
            <w:tcW w:type="dxa" w:w="877"/>
            <w:tcBorders>
              <w:top w:val="none" w:color="000000" w:sz="4"/>
              <w:left w:val="none" w:color="000000" w:sz="4"/>
              <w:bottom w:val="single" w:color="000000" w:sz="4"/>
              <w:right w:val="single" w:color="000000" w:sz="4"/>
            </w:tcBorders>
            <w:vAlign w:val="top"/>
          </w:tcPr>
          <w:p>
            <w:pPr>
              <w:jc w:val="both"/>
            </w:pPr>
          </w:p>
        </w:tc>
      </w:tr>
      <w:tr>
        <w:tc>
          <w:tcPr>
            <w:tcW w:type="dxa" w:w="804"/>
            <w:tcBorders>
              <w:top w:val="none" w:color="000000" w:sz="4"/>
              <w:left w:val="single" w:color="000000" w:sz="4"/>
              <w:bottom w:val="single" w:color="000000" w:sz="4"/>
              <w:right w:val="single" w:color="000000" w:sz="4"/>
            </w:tcBorders>
            <w:vAlign w:val="top"/>
          </w:tcPr>
          <w:p>
            <w:pPr>
              <w:jc w:val="center"/>
            </w:pPr>
            <w:r>
              <w:rPr>
                <w:sz w:val="24"/>
              </w:rPr>
              <w:t>4</w:t>
            </w:r>
          </w:p>
        </w:tc>
        <w:tc>
          <w:tcPr>
            <w:tcW w:type="dxa" w:w="1374"/>
            <w:tcBorders>
              <w:top w:val="none" w:color="000000" w:sz="4"/>
              <w:left w:val="none" w:color="000000" w:sz="4"/>
              <w:bottom w:val="single" w:color="000000" w:sz="4"/>
              <w:right w:val="single" w:color="000000" w:sz="4"/>
            </w:tcBorders>
            <w:vAlign w:val="top"/>
          </w:tcPr>
          <w:p>
            <w:pPr>
              <w:jc w:val="center"/>
            </w:pPr>
            <w:r>
              <w:rPr>
                <w:sz w:val="24"/>
              </w:rPr>
              <w:t>居家养老服务质量提升</w:t>
            </w:r>
          </w:p>
        </w:tc>
        <w:tc>
          <w:tcPr>
            <w:tcW w:type="dxa" w:w="5220"/>
            <w:tcBorders>
              <w:top w:val="none" w:color="000000" w:sz="4"/>
              <w:left w:val="none" w:color="000000" w:sz="4"/>
              <w:bottom w:val="single" w:color="000000" w:sz="4"/>
              <w:right w:val="single" w:color="000000" w:sz="4"/>
            </w:tcBorders>
            <w:vAlign w:val="top"/>
          </w:tcPr>
          <w:p>
            <w:pPr>
              <w:jc w:val="left"/>
            </w:pPr>
            <w:r>
              <w:rPr>
                <w:sz w:val="24"/>
              </w:rPr>
              <w:t>1.投诉处理：依据《投诉处理指南》（GB/T 17242-1998)的要求积极主动处理投诉事件，根据实际工作情况安排。</w:t>
            </w:r>
          </w:p>
          <w:p>
            <w:pPr>
              <w:jc w:val="left"/>
            </w:pPr>
            <w:r>
              <w:rPr>
                <w:sz w:val="24"/>
              </w:rPr>
              <w:t>2.需求调查：通过入户走访、电话回访、座谈会等方式开展居家社区养老服务需求调查工作，从老年人、服务机构、从业人员和项目可持续发展等多角度摸查和调研需求，形成需求调查报告；每年至少开展2次服务需求调研。</w:t>
            </w:r>
          </w:p>
          <w:p>
            <w:pPr>
              <w:jc w:val="left"/>
            </w:pPr>
            <w:r>
              <w:rPr>
                <w:sz w:val="24"/>
              </w:rPr>
              <w:t>3.满意度调查：制定和完善满意度调查管理制度，明确调查对象、频率、方式和内容；定期开展全区居家社区养老服务、助餐配餐服务满意度调查，并提出建设性意见和建议；每年至少开展2次满意度调查。</w:t>
            </w:r>
          </w:p>
        </w:tc>
        <w:tc>
          <w:tcPr>
            <w:tcW w:type="dxa" w:w="877"/>
            <w:tcBorders>
              <w:top w:val="none" w:color="000000" w:sz="4"/>
              <w:left w:val="none" w:color="000000" w:sz="4"/>
              <w:bottom w:val="single" w:color="000000" w:sz="4"/>
              <w:right w:val="single" w:color="000000" w:sz="4"/>
            </w:tcBorders>
            <w:vAlign w:val="top"/>
          </w:tcPr>
          <w:p>
            <w:pPr>
              <w:jc w:val="left"/>
            </w:pPr>
          </w:p>
        </w:tc>
      </w:tr>
      <w:tr>
        <w:tc>
          <w:tcPr>
            <w:tcW w:type="dxa" w:w="804"/>
            <w:tcBorders>
              <w:top w:val="none" w:color="000000" w:sz="4"/>
              <w:left w:val="single" w:color="000000" w:sz="4"/>
              <w:bottom w:val="single" w:color="000000" w:sz="4"/>
              <w:right w:val="single" w:color="000000" w:sz="4"/>
            </w:tcBorders>
            <w:vAlign w:val="top"/>
          </w:tcPr>
          <w:p>
            <w:pPr>
              <w:jc w:val="center"/>
            </w:pPr>
            <w:r>
              <w:rPr>
                <w:sz w:val="24"/>
              </w:rPr>
              <w:t>5</w:t>
            </w:r>
          </w:p>
        </w:tc>
        <w:tc>
          <w:tcPr>
            <w:tcW w:type="dxa" w:w="1374"/>
            <w:tcBorders>
              <w:top w:val="none" w:color="000000" w:sz="4"/>
              <w:left w:val="none" w:color="000000" w:sz="4"/>
              <w:bottom w:val="single" w:color="000000" w:sz="4"/>
              <w:right w:val="single" w:color="000000" w:sz="4"/>
            </w:tcBorders>
            <w:vAlign w:val="top"/>
          </w:tcPr>
          <w:p>
            <w:pPr>
              <w:jc w:val="center"/>
            </w:pPr>
            <w:r>
              <w:rPr>
                <w:sz w:val="24"/>
              </w:rPr>
              <w:t>政策及信息宣传</w:t>
            </w:r>
          </w:p>
        </w:tc>
        <w:tc>
          <w:tcPr>
            <w:tcW w:type="dxa" w:w="5220"/>
            <w:tcBorders>
              <w:top w:val="none" w:color="000000" w:sz="4"/>
              <w:left w:val="none" w:color="000000" w:sz="4"/>
              <w:bottom w:val="single" w:color="000000" w:sz="4"/>
              <w:right w:val="single" w:color="000000" w:sz="4"/>
            </w:tcBorders>
            <w:vAlign w:val="top"/>
          </w:tcPr>
          <w:p>
            <w:pPr>
              <w:jc w:val="left"/>
            </w:pPr>
            <w:r>
              <w:rPr>
                <w:sz w:val="24"/>
              </w:rPr>
              <w:t>1.及时梳理现行政策，形成和动态更新政策清单列表。</w:t>
            </w:r>
          </w:p>
          <w:p>
            <w:pPr>
              <w:jc w:val="left"/>
            </w:pPr>
            <w:r>
              <w:rPr>
                <w:sz w:val="24"/>
              </w:rPr>
              <w:t>2.整合现有为老资源，线上宣传资源渠道定期更新，优化现有微信公众号等平台和渠道建设，每周至少发布宣传资讯不少于1次，</w:t>
            </w:r>
            <w:r>
              <w:rPr>
                <w:sz w:val="24"/>
              </w:rPr>
              <w:t>全年在新闻媒体上发表不少于</w:t>
            </w:r>
            <w:r>
              <w:rPr>
                <w:sz w:val="24"/>
              </w:rPr>
              <w:t>6篇资讯。</w:t>
            </w:r>
          </w:p>
          <w:p>
            <w:pPr>
              <w:jc w:val="left"/>
            </w:pPr>
            <w:r>
              <w:rPr>
                <w:sz w:val="24"/>
              </w:rPr>
              <w:t>3.每年组织开展经验分享及宣传活动不少于3次。</w:t>
            </w:r>
          </w:p>
          <w:p>
            <w:pPr>
              <w:jc w:val="left"/>
            </w:pPr>
            <w:r>
              <w:rPr>
                <w:sz w:val="24"/>
              </w:rPr>
              <w:t>4.及时掌握全区居家社区养老服务开展情况，进行服务成果展示和示范；</w:t>
            </w:r>
            <w:r>
              <w:rPr>
                <w:sz w:val="24"/>
              </w:rPr>
              <w:t>梳理服务经验和成果，形成经验文章不少于</w:t>
            </w:r>
            <w:r>
              <w:rPr>
                <w:sz w:val="24"/>
              </w:rPr>
              <w:t>2篇。</w:t>
            </w:r>
          </w:p>
          <w:p>
            <w:pPr>
              <w:jc w:val="left"/>
            </w:pPr>
            <w:r>
              <w:rPr>
                <w:sz w:val="24"/>
              </w:rPr>
              <w:t>5.摸清全区居家社区养老服务设施分布情况，掌握全区居家社区养老服务基本情况，建立具有本区特色的养老服务地图。</w:t>
            </w:r>
          </w:p>
        </w:tc>
        <w:tc>
          <w:tcPr>
            <w:tcW w:type="dxa" w:w="877"/>
            <w:tcBorders>
              <w:top w:val="none" w:color="000000" w:sz="4"/>
              <w:left w:val="none" w:color="000000" w:sz="4"/>
              <w:bottom w:val="single" w:color="000000" w:sz="4"/>
              <w:right w:val="single" w:color="000000" w:sz="4"/>
            </w:tcBorders>
            <w:vAlign w:val="top"/>
          </w:tcPr>
          <w:p>
            <w:pPr>
              <w:jc w:val="left"/>
            </w:pPr>
          </w:p>
        </w:tc>
      </w:tr>
      <w:tr>
        <w:tc>
          <w:tcPr>
            <w:tcW w:type="dxa" w:w="804"/>
            <w:tcBorders>
              <w:top w:val="none" w:color="000000" w:sz="4"/>
              <w:left w:val="single" w:color="000000" w:sz="4"/>
              <w:bottom w:val="single" w:color="000000" w:sz="4"/>
              <w:right w:val="single" w:color="000000" w:sz="4"/>
            </w:tcBorders>
            <w:vAlign w:val="top"/>
          </w:tcPr>
          <w:p>
            <w:pPr>
              <w:jc w:val="center"/>
            </w:pPr>
            <w:r>
              <w:rPr>
                <w:sz w:val="24"/>
              </w:rPr>
              <w:t>6</w:t>
            </w:r>
          </w:p>
        </w:tc>
        <w:tc>
          <w:tcPr>
            <w:tcW w:type="dxa" w:w="1374"/>
            <w:tcBorders>
              <w:top w:val="none" w:color="000000" w:sz="4"/>
              <w:left w:val="none" w:color="000000" w:sz="4"/>
              <w:bottom w:val="single" w:color="000000" w:sz="4"/>
              <w:right w:val="single" w:color="000000" w:sz="4"/>
            </w:tcBorders>
            <w:vAlign w:val="top"/>
          </w:tcPr>
          <w:p>
            <w:pPr>
              <w:jc w:val="center"/>
            </w:pPr>
            <w:r>
              <w:rPr>
                <w:sz w:val="24"/>
              </w:rPr>
              <w:t>养老服务向导</w:t>
            </w:r>
          </w:p>
        </w:tc>
        <w:tc>
          <w:tcPr>
            <w:tcW w:type="dxa" w:w="5220"/>
            <w:tcBorders>
              <w:top w:val="none" w:color="000000" w:sz="4"/>
              <w:left w:val="none" w:color="000000" w:sz="4"/>
              <w:bottom w:val="single" w:color="000000" w:sz="4"/>
              <w:right w:val="single" w:color="000000" w:sz="4"/>
            </w:tcBorders>
            <w:vAlign w:val="top"/>
          </w:tcPr>
          <w:p>
            <w:pPr>
              <w:jc w:val="left"/>
            </w:pPr>
            <w:r>
              <w:rPr>
                <w:sz w:val="24"/>
              </w:rPr>
              <w:t>设立养老服务向导点，提供养老政策资讯、服务查询、办事指引、服务转介等服务。</w:t>
            </w:r>
          </w:p>
        </w:tc>
        <w:tc>
          <w:tcPr>
            <w:tcW w:type="dxa" w:w="877"/>
            <w:tcBorders>
              <w:top w:val="none" w:color="000000" w:sz="4"/>
              <w:left w:val="none" w:color="000000" w:sz="4"/>
              <w:bottom w:val="single" w:color="000000" w:sz="4"/>
              <w:right w:val="single" w:color="000000" w:sz="4"/>
            </w:tcBorders>
            <w:vAlign w:val="top"/>
          </w:tcPr>
          <w:p>
            <w:pPr>
              <w:jc w:val="left"/>
            </w:pPr>
          </w:p>
        </w:tc>
      </w:tr>
      <w:tr>
        <w:tc>
          <w:tcPr>
            <w:tcW w:type="dxa" w:w="804"/>
            <w:tcBorders>
              <w:top w:val="none" w:color="000000" w:sz="4"/>
              <w:left w:val="single" w:color="000000" w:sz="4"/>
              <w:bottom w:val="single" w:color="000000" w:sz="4"/>
              <w:right w:val="single" w:color="000000" w:sz="4"/>
            </w:tcBorders>
            <w:vAlign w:val="top"/>
          </w:tcPr>
          <w:p>
            <w:pPr>
              <w:jc w:val="center"/>
            </w:pPr>
            <w:r>
              <w:rPr>
                <w:sz w:val="24"/>
              </w:rPr>
              <w:t>7</w:t>
            </w:r>
          </w:p>
        </w:tc>
        <w:tc>
          <w:tcPr>
            <w:tcW w:type="dxa" w:w="1374"/>
            <w:tcBorders>
              <w:top w:val="none" w:color="000000" w:sz="4"/>
              <w:left w:val="none" w:color="000000" w:sz="4"/>
              <w:bottom w:val="single" w:color="000000" w:sz="4"/>
              <w:right w:val="single" w:color="000000" w:sz="4"/>
            </w:tcBorders>
            <w:vAlign w:val="top"/>
          </w:tcPr>
          <w:p>
            <w:pPr>
              <w:jc w:val="center"/>
            </w:pPr>
            <w:r>
              <w:rPr>
                <w:sz w:val="24"/>
              </w:rPr>
              <w:t>建立服务对象个人档案</w:t>
            </w:r>
          </w:p>
        </w:tc>
        <w:tc>
          <w:tcPr>
            <w:tcW w:type="dxa" w:w="5220"/>
            <w:tcBorders>
              <w:top w:val="none" w:color="000000" w:sz="4"/>
              <w:left w:val="none" w:color="000000" w:sz="4"/>
              <w:bottom w:val="single" w:color="000000" w:sz="4"/>
              <w:right w:val="single" w:color="000000" w:sz="4"/>
            </w:tcBorders>
            <w:vAlign w:val="top"/>
          </w:tcPr>
          <w:p>
            <w:pPr>
              <w:jc w:val="left"/>
            </w:pPr>
            <w:r>
              <w:rPr>
                <w:sz w:val="24"/>
              </w:rPr>
              <w:t>服务开展前对长者进行服务评估，由专业人员确认服务对象需求，针对需求制定具体的照顾计划。按人群特殊性对服务对象分类进行为服务对象建立个人档案，</w:t>
            </w:r>
            <w:r>
              <w:rPr>
                <w:sz w:val="24"/>
              </w:rPr>
              <w:t>建档率达</w:t>
            </w:r>
            <w:r>
              <w:rPr>
                <w:sz w:val="24"/>
              </w:rPr>
              <w:t>100%，</w:t>
            </w:r>
            <w:r>
              <w:rPr>
                <w:sz w:val="24"/>
              </w:rPr>
              <w:t>做到有针对性跟踪服务。</w:t>
            </w:r>
          </w:p>
        </w:tc>
        <w:tc>
          <w:tcPr>
            <w:tcW w:type="dxa" w:w="877"/>
            <w:tcBorders>
              <w:top w:val="none" w:color="000000" w:sz="4"/>
              <w:left w:val="none" w:color="000000" w:sz="4"/>
              <w:bottom w:val="single" w:color="000000" w:sz="4"/>
              <w:right w:val="single" w:color="000000" w:sz="4"/>
            </w:tcBorders>
            <w:vAlign w:val="top"/>
          </w:tcPr>
          <w:p>
            <w:pPr>
              <w:jc w:val="left"/>
            </w:pPr>
          </w:p>
        </w:tc>
      </w:tr>
      <w:tr>
        <w:tc>
          <w:tcPr>
            <w:tcW w:type="dxa" w:w="804"/>
            <w:tcBorders>
              <w:top w:val="none" w:color="000000" w:sz="4"/>
              <w:left w:val="single" w:color="000000" w:sz="4"/>
              <w:bottom w:val="single" w:color="000000" w:sz="4"/>
              <w:right w:val="single" w:color="000000" w:sz="4"/>
            </w:tcBorders>
            <w:vAlign w:val="top"/>
          </w:tcPr>
          <w:p>
            <w:pPr>
              <w:jc w:val="center"/>
            </w:pPr>
            <w:r>
              <w:rPr>
                <w:sz w:val="24"/>
              </w:rPr>
              <w:t>8</w:t>
            </w:r>
          </w:p>
        </w:tc>
        <w:tc>
          <w:tcPr>
            <w:tcW w:type="dxa" w:w="1374"/>
            <w:tcBorders>
              <w:top w:val="none" w:color="000000" w:sz="4"/>
              <w:left w:val="none" w:color="000000" w:sz="4"/>
              <w:bottom w:val="single" w:color="000000" w:sz="4"/>
              <w:right w:val="single" w:color="000000" w:sz="4"/>
            </w:tcBorders>
            <w:vAlign w:val="top"/>
          </w:tcPr>
          <w:p>
            <w:pPr>
              <w:jc w:val="center"/>
            </w:pPr>
            <w:r>
              <w:rPr>
                <w:sz w:val="24"/>
              </w:rPr>
              <w:t>开展家庭照护培训</w:t>
            </w:r>
          </w:p>
        </w:tc>
        <w:tc>
          <w:tcPr>
            <w:tcW w:type="dxa" w:w="5220"/>
            <w:tcBorders>
              <w:top w:val="none" w:color="000000" w:sz="4"/>
              <w:left w:val="none" w:color="000000" w:sz="4"/>
              <w:bottom w:val="single" w:color="000000" w:sz="4"/>
              <w:right w:val="single" w:color="000000" w:sz="4"/>
            </w:tcBorders>
            <w:vAlign w:val="top"/>
          </w:tcPr>
          <w:p>
            <w:pPr>
              <w:jc w:val="left"/>
            </w:pPr>
            <w:r>
              <w:rPr>
                <w:sz w:val="24"/>
              </w:rPr>
              <w:t>通过开展小组或培训活动，结合上门服务和入户走访等方式，为失能老人家庭成员开展服务技能和实操等照护培训工作。</w:t>
            </w:r>
          </w:p>
        </w:tc>
        <w:tc>
          <w:tcPr>
            <w:tcW w:type="dxa" w:w="877"/>
            <w:tcBorders>
              <w:top w:val="none" w:color="000000" w:sz="4"/>
              <w:left w:val="none" w:color="000000" w:sz="4"/>
              <w:bottom w:val="single" w:color="000000" w:sz="4"/>
              <w:right w:val="single" w:color="000000" w:sz="4"/>
            </w:tcBorders>
            <w:vAlign w:val="top"/>
          </w:tcPr>
          <w:p>
            <w:pPr>
              <w:jc w:val="left"/>
            </w:pPr>
          </w:p>
        </w:tc>
      </w:tr>
      <w:tr>
        <w:tc>
          <w:tcPr>
            <w:tcW w:type="dxa" w:w="804"/>
            <w:tcBorders>
              <w:top w:val="none" w:color="000000" w:sz="4"/>
              <w:left w:val="single" w:color="000000" w:sz="4"/>
              <w:bottom w:val="single" w:color="000000" w:sz="4"/>
              <w:right w:val="single" w:color="000000" w:sz="4"/>
            </w:tcBorders>
            <w:vAlign w:val="top"/>
          </w:tcPr>
          <w:p>
            <w:pPr>
              <w:jc w:val="center"/>
            </w:pPr>
            <w:r>
              <w:rPr>
                <w:sz w:val="24"/>
              </w:rPr>
              <w:t>9</w:t>
            </w:r>
          </w:p>
        </w:tc>
        <w:tc>
          <w:tcPr>
            <w:tcW w:type="dxa" w:w="1374"/>
            <w:tcBorders>
              <w:top w:val="none" w:color="000000" w:sz="4"/>
              <w:left w:val="none" w:color="000000" w:sz="4"/>
              <w:bottom w:val="single" w:color="000000" w:sz="4"/>
              <w:right w:val="single" w:color="000000" w:sz="4"/>
            </w:tcBorders>
            <w:vAlign w:val="top"/>
          </w:tcPr>
          <w:p>
            <w:pPr>
              <w:jc w:val="center"/>
            </w:pPr>
            <w:r>
              <w:rPr>
                <w:sz w:val="24"/>
              </w:rPr>
              <w:t>开展助餐配餐服务</w:t>
            </w:r>
          </w:p>
        </w:tc>
        <w:tc>
          <w:tcPr>
            <w:tcW w:type="dxa" w:w="5220"/>
            <w:tcBorders>
              <w:top w:val="none" w:color="000000" w:sz="4"/>
              <w:left w:val="none" w:color="000000" w:sz="4"/>
              <w:bottom w:val="single" w:color="000000" w:sz="4"/>
              <w:right w:val="single" w:color="000000" w:sz="4"/>
            </w:tcBorders>
            <w:vAlign w:val="top"/>
          </w:tcPr>
          <w:p>
            <w:pPr>
              <w:jc w:val="left"/>
            </w:pPr>
            <w:r>
              <w:rPr>
                <w:sz w:val="24"/>
              </w:rPr>
              <w:t>为周边有就餐需求的长者提供集中用餐或上门送餐服务。工作日均提供配餐服务，提供不少于</w:t>
            </w:r>
            <w:r>
              <w:rPr>
                <w:sz w:val="24"/>
              </w:rPr>
              <w:t>265天的配餐，年服务人次不少于8500人次。</w:t>
            </w:r>
          </w:p>
        </w:tc>
        <w:tc>
          <w:tcPr>
            <w:tcW w:type="dxa" w:w="877"/>
            <w:tcBorders>
              <w:top w:val="none" w:color="000000" w:sz="4"/>
              <w:left w:val="none" w:color="000000" w:sz="4"/>
              <w:bottom w:val="single" w:color="000000" w:sz="4"/>
              <w:right w:val="single" w:color="000000" w:sz="4"/>
            </w:tcBorders>
            <w:vAlign w:val="top"/>
          </w:tcPr>
          <w:p>
            <w:pPr>
              <w:jc w:val="left"/>
            </w:pPr>
          </w:p>
        </w:tc>
      </w:tr>
      <w:tr>
        <w:tc>
          <w:tcPr>
            <w:tcW w:type="dxa" w:w="804"/>
            <w:tcBorders>
              <w:top w:val="none" w:color="000000" w:sz="4"/>
              <w:left w:val="single" w:color="000000" w:sz="4"/>
              <w:bottom w:val="single" w:color="000000" w:sz="4"/>
              <w:right w:val="single" w:color="000000" w:sz="4"/>
            </w:tcBorders>
            <w:vAlign w:val="top"/>
          </w:tcPr>
          <w:p>
            <w:pPr>
              <w:jc w:val="center"/>
            </w:pPr>
            <w:r>
              <w:rPr>
                <w:sz w:val="24"/>
              </w:rPr>
              <w:t>10</w:t>
            </w:r>
          </w:p>
        </w:tc>
        <w:tc>
          <w:tcPr>
            <w:tcW w:type="dxa" w:w="1374"/>
            <w:tcBorders>
              <w:top w:val="none" w:color="000000" w:sz="4"/>
              <w:left w:val="none" w:color="000000" w:sz="4"/>
              <w:bottom w:val="single" w:color="000000" w:sz="4"/>
              <w:right w:val="single" w:color="000000" w:sz="4"/>
            </w:tcBorders>
            <w:vAlign w:val="top"/>
          </w:tcPr>
          <w:p>
            <w:pPr>
              <w:jc w:val="center"/>
            </w:pPr>
            <w:r>
              <w:rPr>
                <w:sz w:val="24"/>
              </w:rPr>
              <w:t>开展生活照料服务</w:t>
            </w:r>
          </w:p>
        </w:tc>
        <w:tc>
          <w:tcPr>
            <w:tcW w:type="dxa" w:w="5220"/>
            <w:tcBorders>
              <w:top w:val="none" w:color="000000" w:sz="4"/>
              <w:left w:val="none" w:color="000000" w:sz="4"/>
              <w:bottom w:val="single" w:color="000000" w:sz="4"/>
              <w:right w:val="single" w:color="000000" w:sz="4"/>
            </w:tcBorders>
            <w:vAlign w:val="top"/>
          </w:tcPr>
          <w:p>
            <w:pPr>
              <w:jc w:val="left"/>
            </w:pPr>
            <w:r>
              <w:rPr>
                <w:sz w:val="24"/>
              </w:rPr>
              <w:t>1.提供生活照料（通用服务），如助洁、洗涤、陪伴就医、陪同外出等服务。</w:t>
            </w:r>
          </w:p>
          <w:p>
            <w:pPr>
              <w:jc w:val="left"/>
            </w:pPr>
            <w:r>
              <w:rPr>
                <w:sz w:val="24"/>
              </w:rPr>
              <w:t>2.提供生活照料（专业服务），如个人护理、转移护理、助浴服务等专业服务。</w:t>
            </w:r>
          </w:p>
          <w:p>
            <w:pPr>
              <w:jc w:val="left"/>
            </w:pPr>
            <w:r>
              <w:rPr>
                <w:sz w:val="24"/>
              </w:rPr>
              <w:t>每年为不少于</w:t>
            </w:r>
            <w:r>
              <w:rPr>
                <w:sz w:val="24"/>
              </w:rPr>
              <w:t>30名长者提供到户式服务，建立档案，服务人次不少于2400人次，提供不少于10个上门生活照料服务项目。</w:t>
            </w:r>
          </w:p>
        </w:tc>
        <w:tc>
          <w:tcPr>
            <w:tcW w:type="dxa" w:w="877"/>
            <w:tcBorders>
              <w:top w:val="none" w:color="000000" w:sz="4"/>
              <w:left w:val="none" w:color="000000" w:sz="4"/>
              <w:bottom w:val="single" w:color="000000" w:sz="4"/>
              <w:right w:val="single" w:color="000000" w:sz="4"/>
            </w:tcBorders>
            <w:vAlign w:val="top"/>
          </w:tcPr>
          <w:p>
            <w:pPr>
              <w:jc w:val="left"/>
            </w:pPr>
          </w:p>
        </w:tc>
      </w:tr>
      <w:tr>
        <w:tc>
          <w:tcPr>
            <w:tcW w:type="dxa" w:w="804"/>
            <w:tcBorders>
              <w:top w:val="none" w:color="000000" w:sz="4"/>
              <w:left w:val="single" w:color="000000" w:sz="4"/>
              <w:bottom w:val="single" w:color="000000" w:sz="4"/>
              <w:right w:val="single" w:color="000000" w:sz="4"/>
            </w:tcBorders>
            <w:vAlign w:val="top"/>
          </w:tcPr>
          <w:p>
            <w:pPr>
              <w:jc w:val="center"/>
            </w:pPr>
            <w:r>
              <w:rPr>
                <w:sz w:val="24"/>
              </w:rPr>
              <w:t>11</w:t>
            </w:r>
          </w:p>
        </w:tc>
        <w:tc>
          <w:tcPr>
            <w:tcW w:type="dxa" w:w="1374"/>
            <w:tcBorders>
              <w:top w:val="none" w:color="000000" w:sz="4"/>
              <w:left w:val="none" w:color="000000" w:sz="4"/>
              <w:bottom w:val="single" w:color="000000" w:sz="4"/>
              <w:right w:val="single" w:color="000000" w:sz="4"/>
            </w:tcBorders>
            <w:vAlign w:val="top"/>
          </w:tcPr>
          <w:p>
            <w:pPr>
              <w:jc w:val="center"/>
            </w:pPr>
            <w:r>
              <w:rPr>
                <w:sz w:val="24"/>
              </w:rPr>
              <w:t>开展定期巡访服务</w:t>
            </w:r>
          </w:p>
        </w:tc>
        <w:tc>
          <w:tcPr>
            <w:tcW w:type="dxa" w:w="5220"/>
            <w:tcBorders>
              <w:top w:val="none" w:color="000000" w:sz="4"/>
              <w:left w:val="none" w:color="000000" w:sz="4"/>
              <w:bottom w:val="single" w:color="000000" w:sz="4"/>
              <w:right w:val="single" w:color="000000" w:sz="4"/>
            </w:tcBorders>
            <w:vAlign w:val="top"/>
          </w:tcPr>
          <w:p>
            <w:pPr>
              <w:jc w:val="left"/>
            </w:pPr>
            <w:r>
              <w:rPr>
                <w:sz w:val="24"/>
              </w:rPr>
              <w:t>1.摸排周边社区特殊困难老年人基本情况，建立特殊困难老年人关爱巡访机制和基本信息台账，每月通过电访和入户探访等方式开展关爱巡访服务，月探访率达到100%。</w:t>
            </w:r>
          </w:p>
          <w:p>
            <w:pPr>
              <w:jc w:val="left"/>
            </w:pPr>
            <w:r>
              <w:rPr>
                <w:sz w:val="24"/>
              </w:rPr>
              <w:t>2.在长者生日或传统节日组织开展生日会、节日慰问等活动，每年开展活动不少于6场。</w:t>
            </w:r>
          </w:p>
        </w:tc>
        <w:tc>
          <w:tcPr>
            <w:tcW w:type="dxa" w:w="877"/>
            <w:tcBorders>
              <w:top w:val="none" w:color="000000" w:sz="4"/>
              <w:left w:val="none" w:color="000000" w:sz="4"/>
              <w:bottom w:val="single" w:color="000000" w:sz="4"/>
              <w:right w:val="single" w:color="000000" w:sz="4"/>
            </w:tcBorders>
            <w:vAlign w:val="top"/>
          </w:tcPr>
          <w:p>
            <w:pPr>
              <w:jc w:val="left"/>
            </w:pPr>
          </w:p>
        </w:tc>
      </w:tr>
      <w:tr>
        <w:tc>
          <w:tcPr>
            <w:tcW w:type="dxa" w:w="804"/>
            <w:tcBorders>
              <w:top w:val="none" w:color="000000" w:sz="4"/>
              <w:left w:val="single" w:color="000000" w:sz="4"/>
              <w:bottom w:val="single" w:color="000000" w:sz="4"/>
              <w:right w:val="single" w:color="000000" w:sz="4"/>
            </w:tcBorders>
            <w:vAlign w:val="top"/>
          </w:tcPr>
          <w:p>
            <w:pPr>
              <w:jc w:val="center"/>
            </w:pPr>
            <w:r>
              <w:rPr>
                <w:sz w:val="24"/>
              </w:rPr>
              <w:t>12</w:t>
            </w:r>
          </w:p>
        </w:tc>
        <w:tc>
          <w:tcPr>
            <w:tcW w:type="dxa" w:w="1374"/>
            <w:tcBorders>
              <w:top w:val="none" w:color="000000" w:sz="4"/>
              <w:left w:val="none" w:color="000000" w:sz="4"/>
              <w:bottom w:val="single" w:color="000000" w:sz="4"/>
              <w:right w:val="single" w:color="000000" w:sz="4"/>
            </w:tcBorders>
            <w:vAlign w:val="top"/>
          </w:tcPr>
          <w:p>
            <w:pPr>
              <w:jc w:val="center"/>
            </w:pPr>
            <w:r>
              <w:rPr>
                <w:sz w:val="24"/>
              </w:rPr>
              <w:t>开展老年用品服务</w:t>
            </w:r>
          </w:p>
        </w:tc>
        <w:tc>
          <w:tcPr>
            <w:tcW w:type="dxa" w:w="5220"/>
            <w:tcBorders>
              <w:top w:val="none" w:color="000000" w:sz="4"/>
              <w:left w:val="none" w:color="000000" w:sz="4"/>
              <w:bottom w:val="single" w:color="000000" w:sz="4"/>
              <w:right w:val="single" w:color="000000" w:sz="4"/>
            </w:tcBorders>
            <w:vAlign w:val="top"/>
          </w:tcPr>
          <w:p>
            <w:pPr>
              <w:jc w:val="left"/>
            </w:pPr>
            <w:r>
              <w:rPr>
                <w:sz w:val="24"/>
              </w:rPr>
              <w:t>展示与介绍轮椅、助行器、生活辅助器具等老年用品；为有需求的长者提供助行器、轮椅、制氧机、代步车等辅具租赁。</w:t>
            </w:r>
          </w:p>
        </w:tc>
        <w:tc>
          <w:tcPr>
            <w:tcW w:type="dxa" w:w="877"/>
            <w:tcBorders>
              <w:top w:val="none" w:color="000000" w:sz="4"/>
              <w:left w:val="none" w:color="000000" w:sz="4"/>
              <w:bottom w:val="single" w:color="000000" w:sz="4"/>
              <w:right w:val="single" w:color="000000" w:sz="4"/>
            </w:tcBorders>
            <w:vAlign w:val="top"/>
          </w:tcPr>
          <w:p>
            <w:pPr>
              <w:jc w:val="left"/>
            </w:pPr>
          </w:p>
        </w:tc>
      </w:tr>
      <w:tr>
        <w:tc>
          <w:tcPr>
            <w:tcW w:type="dxa" w:w="804"/>
            <w:tcBorders>
              <w:top w:val="none" w:color="000000" w:sz="4"/>
              <w:left w:val="single" w:color="000000" w:sz="4"/>
              <w:bottom w:val="single" w:color="000000" w:sz="4"/>
              <w:right w:val="single" w:color="000000" w:sz="4"/>
            </w:tcBorders>
            <w:vAlign w:val="top"/>
          </w:tcPr>
          <w:p>
            <w:pPr>
              <w:jc w:val="center"/>
            </w:pPr>
            <w:r>
              <w:rPr>
                <w:sz w:val="24"/>
              </w:rPr>
              <w:t>13</w:t>
            </w:r>
          </w:p>
        </w:tc>
        <w:tc>
          <w:tcPr>
            <w:tcW w:type="dxa" w:w="1374"/>
            <w:tcBorders>
              <w:top w:val="none" w:color="000000" w:sz="4"/>
              <w:left w:val="none" w:color="000000" w:sz="4"/>
              <w:bottom w:val="single" w:color="000000" w:sz="4"/>
              <w:right w:val="single" w:color="000000" w:sz="4"/>
            </w:tcBorders>
            <w:vAlign w:val="top"/>
          </w:tcPr>
          <w:p>
            <w:pPr>
              <w:jc w:val="center"/>
            </w:pPr>
            <w:r>
              <w:rPr>
                <w:sz w:val="24"/>
              </w:rPr>
              <w:t>开展文体教育服务</w:t>
            </w:r>
          </w:p>
        </w:tc>
        <w:tc>
          <w:tcPr>
            <w:tcW w:type="dxa" w:w="5220"/>
            <w:tcBorders>
              <w:top w:val="none" w:color="000000" w:sz="4"/>
              <w:left w:val="none" w:color="000000" w:sz="4"/>
              <w:bottom w:val="single" w:color="000000" w:sz="4"/>
              <w:right w:val="single" w:color="000000" w:sz="4"/>
            </w:tcBorders>
            <w:vAlign w:val="top"/>
          </w:tcPr>
          <w:p>
            <w:pPr>
              <w:jc w:val="left"/>
            </w:pPr>
            <w:r>
              <w:rPr>
                <w:sz w:val="24"/>
              </w:rPr>
              <w:t>1.开展丰富多样的娱乐活动，如棋牌、歌舞、打球、书画、阅读、太极、健康操、八段锦、茶话会、生日会、游园会等。</w:t>
            </w:r>
          </w:p>
          <w:p>
            <w:pPr>
              <w:jc w:val="left"/>
            </w:pPr>
            <w:r>
              <w:rPr>
                <w:sz w:val="24"/>
              </w:rPr>
              <w:t>2.开展老年教育活动，老年课堂，如钢琴、摄影、书法绘画、英语、计算机、编织、手工等。</w:t>
            </w:r>
          </w:p>
          <w:p>
            <w:pPr>
              <w:jc w:val="left"/>
            </w:pPr>
            <w:r>
              <w:rPr>
                <w:sz w:val="24"/>
              </w:rPr>
              <w:t>工作日均提供场馆娱乐活动不少于</w:t>
            </w:r>
            <w:r>
              <w:rPr>
                <w:sz w:val="24"/>
              </w:rPr>
              <w:t>265天，提供不少于8000人次的场馆服务；至少开展老年教育课堂4门</w:t>
            </w:r>
            <w:r>
              <w:rPr>
                <w:sz w:val="24"/>
              </w:rPr>
              <w:t>，每门课程不少于</w:t>
            </w:r>
            <w:r>
              <w:rPr>
                <w:sz w:val="24"/>
              </w:rPr>
              <w:t>5节课。</w:t>
            </w:r>
          </w:p>
        </w:tc>
        <w:tc>
          <w:tcPr>
            <w:tcW w:type="dxa" w:w="877"/>
            <w:tcBorders>
              <w:top w:val="none" w:color="000000" w:sz="4"/>
              <w:left w:val="none" w:color="000000" w:sz="4"/>
              <w:bottom w:val="single" w:color="000000" w:sz="4"/>
              <w:right w:val="single" w:color="000000" w:sz="4"/>
            </w:tcBorders>
            <w:vAlign w:val="top"/>
          </w:tcPr>
          <w:p>
            <w:pPr>
              <w:jc w:val="left"/>
            </w:pPr>
          </w:p>
        </w:tc>
      </w:tr>
      <w:tr>
        <w:tc>
          <w:tcPr>
            <w:tcW w:type="dxa" w:w="804"/>
            <w:tcBorders>
              <w:top w:val="none" w:color="000000" w:sz="4"/>
              <w:left w:val="single" w:color="000000" w:sz="4"/>
              <w:bottom w:val="single" w:color="000000" w:sz="4"/>
              <w:right w:val="single" w:color="000000" w:sz="4"/>
            </w:tcBorders>
            <w:vAlign w:val="top"/>
          </w:tcPr>
          <w:p>
            <w:pPr>
              <w:jc w:val="center"/>
            </w:pPr>
            <w:r>
              <w:rPr>
                <w:sz w:val="24"/>
              </w:rPr>
              <w:t>14</w:t>
            </w:r>
          </w:p>
        </w:tc>
        <w:tc>
          <w:tcPr>
            <w:tcW w:type="dxa" w:w="1374"/>
            <w:tcBorders>
              <w:top w:val="none" w:color="000000" w:sz="4"/>
              <w:left w:val="none" w:color="000000" w:sz="4"/>
              <w:bottom w:val="single" w:color="000000" w:sz="4"/>
              <w:right w:val="single" w:color="000000" w:sz="4"/>
            </w:tcBorders>
            <w:vAlign w:val="top"/>
          </w:tcPr>
          <w:p>
            <w:pPr>
              <w:jc w:val="center"/>
            </w:pPr>
            <w:r>
              <w:rPr>
                <w:sz w:val="24"/>
              </w:rPr>
              <w:t>开展日间托管服务</w:t>
            </w:r>
          </w:p>
        </w:tc>
        <w:tc>
          <w:tcPr>
            <w:tcW w:type="dxa" w:w="5220"/>
            <w:tcBorders>
              <w:top w:val="none" w:color="000000" w:sz="4"/>
              <w:left w:val="none" w:color="000000" w:sz="4"/>
              <w:bottom w:val="single" w:color="000000" w:sz="4"/>
              <w:right w:val="single" w:color="000000" w:sz="4"/>
            </w:tcBorders>
            <w:vAlign w:val="top"/>
          </w:tcPr>
          <w:p>
            <w:pPr>
              <w:jc w:val="left"/>
            </w:pPr>
            <w:r>
              <w:rPr>
                <w:sz w:val="24"/>
              </w:rPr>
              <w:t>为周边长者提供助餐配餐、康复训练、健康管理、文化娱乐、午间休息等日间托管服务。每年托管签约协议不少于</w:t>
            </w:r>
            <w:r>
              <w:rPr>
                <w:sz w:val="24"/>
              </w:rPr>
              <w:t>20人，为入托老人提供白天照护服务。</w:t>
            </w:r>
          </w:p>
        </w:tc>
        <w:tc>
          <w:tcPr>
            <w:tcW w:type="dxa" w:w="877"/>
            <w:tcBorders>
              <w:top w:val="none" w:color="000000" w:sz="4"/>
              <w:left w:val="none" w:color="000000" w:sz="4"/>
              <w:bottom w:val="single" w:color="000000" w:sz="4"/>
              <w:right w:val="single" w:color="000000" w:sz="4"/>
            </w:tcBorders>
            <w:vAlign w:val="top"/>
          </w:tcPr>
          <w:p>
            <w:pPr>
              <w:jc w:val="left"/>
            </w:pPr>
          </w:p>
        </w:tc>
      </w:tr>
      <w:tr>
        <w:tc>
          <w:tcPr>
            <w:tcW w:type="dxa" w:w="804"/>
            <w:tcBorders>
              <w:top w:val="none" w:color="000000" w:sz="4"/>
              <w:left w:val="single" w:color="000000" w:sz="4"/>
              <w:bottom w:val="single" w:color="000000" w:sz="4"/>
              <w:right w:val="single" w:color="000000" w:sz="4"/>
            </w:tcBorders>
            <w:vAlign w:val="top"/>
          </w:tcPr>
          <w:p>
            <w:pPr>
              <w:jc w:val="center"/>
            </w:pPr>
            <w:r>
              <w:rPr>
                <w:sz w:val="24"/>
              </w:rPr>
              <w:t>15</w:t>
            </w:r>
          </w:p>
        </w:tc>
        <w:tc>
          <w:tcPr>
            <w:tcW w:type="dxa" w:w="1374"/>
            <w:vMerge w:val="restart"/>
            <w:tcBorders>
              <w:top w:val="none" w:color="000000" w:sz="4"/>
              <w:left w:val="none" w:color="000000" w:sz="4"/>
              <w:bottom w:val="none" w:color="000000" w:sz="4"/>
              <w:right w:val="single" w:color="000000" w:sz="4"/>
            </w:tcBorders>
            <w:vAlign w:val="top"/>
          </w:tcPr>
          <w:p>
            <w:pPr>
              <w:jc w:val="center"/>
            </w:pPr>
            <w:r>
              <w:rPr>
                <w:sz w:val="24"/>
              </w:rPr>
              <w:t>开展医养康养服务</w:t>
            </w:r>
          </w:p>
        </w:tc>
        <w:tc>
          <w:tcPr>
            <w:tcW w:type="dxa" w:w="5220"/>
            <w:tcBorders>
              <w:top w:val="none" w:color="000000" w:sz="4"/>
              <w:left w:val="none" w:color="000000" w:sz="4"/>
              <w:bottom w:val="single" w:color="000000" w:sz="4"/>
              <w:right w:val="single" w:color="000000" w:sz="4"/>
            </w:tcBorders>
            <w:vAlign w:val="top"/>
          </w:tcPr>
          <w:p>
            <w:pPr>
              <w:jc w:val="left"/>
            </w:pPr>
            <w:r>
              <w:rPr>
                <w:sz w:val="24"/>
              </w:rPr>
              <w:t>为老人建立健康档案，定时跟踪健康情况；提供健康咨询、饮食咨询、营养指导、用药指引等服务；提供常规生理指数监测和常规体格检查、家庭病床、医生上门巡诊等服务。每年为不少于</w:t>
            </w:r>
            <w:r>
              <w:rPr>
                <w:sz w:val="24"/>
              </w:rPr>
              <w:t>30名长者提供到户式服务。</w:t>
            </w:r>
          </w:p>
        </w:tc>
        <w:tc>
          <w:tcPr>
            <w:tcW w:type="dxa" w:w="877"/>
            <w:tcBorders>
              <w:top w:val="none" w:color="000000" w:sz="4"/>
              <w:left w:val="none" w:color="000000" w:sz="4"/>
              <w:bottom w:val="single" w:color="000000" w:sz="4"/>
              <w:right w:val="single" w:color="000000" w:sz="4"/>
            </w:tcBorders>
            <w:vAlign w:val="top"/>
          </w:tcPr>
          <w:p>
            <w:pPr>
              <w:jc w:val="left"/>
            </w:pPr>
          </w:p>
        </w:tc>
      </w:tr>
      <w:tr>
        <w:tc>
          <w:tcPr>
            <w:tcW w:type="dxa" w:w="804"/>
            <w:tcBorders>
              <w:top w:val="none" w:color="000000" w:sz="4"/>
              <w:left w:val="single" w:color="000000" w:sz="4"/>
              <w:bottom w:val="single" w:color="000000" w:sz="4"/>
              <w:right w:val="single" w:color="000000" w:sz="4"/>
            </w:tcBorders>
            <w:vAlign w:val="top"/>
          </w:tcPr>
          <w:p>
            <w:pPr>
              <w:jc w:val="center"/>
            </w:pPr>
            <w:r>
              <w:rPr>
                <w:sz w:val="24"/>
              </w:rPr>
              <w:t>16</w:t>
            </w:r>
          </w:p>
        </w:tc>
        <w:tc>
          <w:tcPr>
            <w:tcW w:type="dxa" w:w="1374"/>
            <w:vMerge/>
            <w:tcBorders>
              <w:top w:val="none" w:color="000000" w:sz="4"/>
              <w:left w:val="none" w:color="000000" w:sz="4"/>
              <w:bottom w:val="none" w:color="000000" w:sz="4"/>
              <w:right w:val="single" w:color="000000" w:sz="4"/>
            </w:tcBorders>
          </w:tcPr>
          <w:p/>
        </w:tc>
        <w:tc>
          <w:tcPr>
            <w:tcW w:type="dxa" w:w="5220"/>
            <w:tcBorders>
              <w:top w:val="none" w:color="000000" w:sz="4"/>
              <w:left w:val="none" w:color="000000" w:sz="4"/>
              <w:bottom w:val="single" w:color="000000" w:sz="4"/>
              <w:right w:val="single" w:color="000000" w:sz="4"/>
            </w:tcBorders>
            <w:vAlign w:val="top"/>
          </w:tcPr>
          <w:p>
            <w:pPr>
              <w:jc w:val="left"/>
            </w:pPr>
            <w:r>
              <w:rPr>
                <w:sz w:val="24"/>
              </w:rPr>
              <w:t>开展健康宣教、保健知识讲座、保健学习、义诊等活动。每周在服务场馆至少开展</w:t>
            </w:r>
            <w:r>
              <w:rPr>
                <w:sz w:val="24"/>
              </w:rPr>
              <w:t>1次医疗保健活动。</w:t>
            </w:r>
          </w:p>
        </w:tc>
        <w:tc>
          <w:tcPr>
            <w:tcW w:type="dxa" w:w="877"/>
            <w:tcBorders>
              <w:top w:val="none" w:color="000000" w:sz="4"/>
              <w:left w:val="none" w:color="000000" w:sz="4"/>
              <w:bottom w:val="single" w:color="000000" w:sz="4"/>
              <w:right w:val="single" w:color="000000" w:sz="4"/>
            </w:tcBorders>
            <w:vAlign w:val="top"/>
          </w:tcPr>
          <w:p>
            <w:pPr>
              <w:jc w:val="left"/>
            </w:pPr>
          </w:p>
        </w:tc>
      </w:tr>
      <w:tr>
        <w:tc>
          <w:tcPr>
            <w:tcW w:type="dxa" w:w="804"/>
            <w:tcBorders>
              <w:top w:val="none" w:color="000000" w:sz="4"/>
              <w:left w:val="single" w:color="000000" w:sz="4"/>
              <w:bottom w:val="single" w:color="000000" w:sz="4"/>
              <w:right w:val="single" w:color="000000" w:sz="4"/>
            </w:tcBorders>
            <w:vAlign w:val="top"/>
          </w:tcPr>
          <w:p>
            <w:pPr>
              <w:jc w:val="center"/>
            </w:pPr>
            <w:r>
              <w:rPr>
                <w:sz w:val="24"/>
              </w:rPr>
              <w:t>17</w:t>
            </w:r>
          </w:p>
        </w:tc>
        <w:tc>
          <w:tcPr>
            <w:tcW w:type="dxa" w:w="1374"/>
            <w:vMerge w:val="restart"/>
            <w:tcBorders>
              <w:top w:val="none" w:color="000000" w:sz="4"/>
              <w:left w:val="none" w:color="000000" w:sz="4"/>
              <w:bottom w:val="single" w:color="000000" w:sz="4"/>
              <w:right w:val="single" w:color="000000" w:sz="4"/>
            </w:tcBorders>
            <w:vAlign w:val="top"/>
          </w:tcPr>
          <w:p>
            <w:pPr>
              <w:jc w:val="center"/>
            </w:pPr>
            <w:r>
              <w:rPr>
                <w:sz w:val="24"/>
              </w:rPr>
              <w:t>开展康复护理服务</w:t>
            </w:r>
          </w:p>
        </w:tc>
        <w:tc>
          <w:tcPr>
            <w:tcW w:type="dxa" w:w="5220"/>
            <w:tcBorders>
              <w:top w:val="none" w:color="000000" w:sz="4"/>
              <w:left w:val="none" w:color="000000" w:sz="4"/>
              <w:bottom w:val="single" w:color="000000" w:sz="4"/>
              <w:right w:val="single" w:color="000000" w:sz="4"/>
            </w:tcBorders>
            <w:vAlign w:val="top"/>
          </w:tcPr>
          <w:p>
            <w:pPr>
              <w:jc w:val="left"/>
            </w:pPr>
            <w:r>
              <w:rPr>
                <w:sz w:val="24"/>
              </w:rPr>
              <w:t>对残疾、失能或半失能老年人提供康复咨询、器材锻炼、康复训练和康复理疗等；每年完成不少于</w:t>
            </w:r>
            <w:r>
              <w:rPr>
                <w:sz w:val="24"/>
              </w:rPr>
              <w:t>30名长者的康复训练评估建档和指导。</w:t>
            </w:r>
          </w:p>
        </w:tc>
        <w:tc>
          <w:tcPr>
            <w:tcW w:type="dxa" w:w="877"/>
            <w:tcBorders>
              <w:top w:val="none" w:color="000000" w:sz="4"/>
              <w:left w:val="none" w:color="000000" w:sz="4"/>
              <w:bottom w:val="single" w:color="000000" w:sz="4"/>
              <w:right w:val="single" w:color="000000" w:sz="4"/>
            </w:tcBorders>
            <w:vAlign w:val="top"/>
          </w:tcPr>
          <w:p>
            <w:pPr>
              <w:jc w:val="left"/>
            </w:pPr>
          </w:p>
        </w:tc>
      </w:tr>
      <w:tr>
        <w:tc>
          <w:tcPr>
            <w:tcW w:type="dxa" w:w="804"/>
            <w:tcBorders>
              <w:top w:val="none" w:color="000000" w:sz="4"/>
              <w:left w:val="single" w:color="000000" w:sz="4"/>
              <w:bottom w:val="single" w:color="000000" w:sz="4"/>
              <w:right w:val="single" w:color="000000" w:sz="4"/>
            </w:tcBorders>
            <w:vAlign w:val="top"/>
          </w:tcPr>
          <w:p>
            <w:pPr>
              <w:jc w:val="center"/>
            </w:pPr>
            <w:r>
              <w:rPr>
                <w:sz w:val="24"/>
              </w:rPr>
              <w:t>18</w:t>
            </w:r>
          </w:p>
        </w:tc>
        <w:tc>
          <w:tcPr>
            <w:tcW w:type="dxa" w:w="1374"/>
            <w:vMerge/>
            <w:tcBorders>
              <w:top w:val="none" w:color="000000" w:sz="4"/>
              <w:left w:val="none" w:color="000000" w:sz="4"/>
              <w:bottom w:val="single" w:color="000000" w:sz="4"/>
              <w:right w:val="single" w:color="000000" w:sz="4"/>
            </w:tcBorders>
          </w:tcPr>
          <w:p/>
        </w:tc>
        <w:tc>
          <w:tcPr>
            <w:tcW w:type="dxa" w:w="5220"/>
            <w:tcBorders>
              <w:top w:val="none" w:color="000000" w:sz="4"/>
              <w:left w:val="none" w:color="000000" w:sz="4"/>
              <w:bottom w:val="single" w:color="000000" w:sz="4"/>
              <w:right w:val="single" w:color="000000" w:sz="4"/>
            </w:tcBorders>
            <w:vAlign w:val="top"/>
          </w:tcPr>
          <w:p>
            <w:pPr>
              <w:jc w:val="left"/>
            </w:pPr>
            <w:r>
              <w:rPr>
                <w:sz w:val="24"/>
              </w:rPr>
              <w:t>开展针灸理疗、穴位针灸、足部理疗、按摩推拿、拔罐刮痧等服务。每周在服务场馆至少开展</w:t>
            </w:r>
            <w:r>
              <w:rPr>
                <w:sz w:val="24"/>
              </w:rPr>
              <w:t>1次康复理疗活动。</w:t>
            </w:r>
          </w:p>
        </w:tc>
        <w:tc>
          <w:tcPr>
            <w:tcW w:type="dxa" w:w="877"/>
            <w:tcBorders>
              <w:top w:val="none" w:color="000000" w:sz="4"/>
              <w:left w:val="none" w:color="000000" w:sz="4"/>
              <w:bottom w:val="single" w:color="000000" w:sz="4"/>
              <w:right w:val="single" w:color="000000" w:sz="4"/>
            </w:tcBorders>
            <w:vAlign w:val="top"/>
          </w:tcPr>
          <w:p>
            <w:pPr>
              <w:jc w:val="left"/>
            </w:pPr>
          </w:p>
        </w:tc>
      </w:tr>
    </w:tbl>
    <w:p>
      <w:pPr>
        <w:ind w:firstLine="480"/>
        <w:jc w:val="both"/>
      </w:pPr>
      <w:r>
        <w:rPr>
          <w:sz w:val="24"/>
        </w:rPr>
        <w:t>备注：</w:t>
      </w:r>
      <w:r>
        <w:rPr>
          <w:sz w:val="24"/>
        </w:rPr>
        <w:t>业务开展过程中，考虑客观情况确需调整相关工时安排计划的，需与服务购买方协商确定后实施。</w:t>
      </w:r>
    </w:p>
    <w:p>
      <w:pPr>
        <w:ind w:firstLine="480"/>
        <w:jc w:val="both"/>
      </w:pPr>
    </w:p>
    <w:p>
      <w:pPr>
        <w:jc w:val="center"/>
      </w:pPr>
      <w:r>
        <w:rPr>
          <w:sz w:val="24"/>
        </w:rPr>
        <w:t>三、双方权利与义务</w:t>
      </w:r>
    </w:p>
    <w:p>
      <w:pPr>
        <w:ind w:firstLine="480"/>
        <w:jc w:val="both"/>
      </w:pPr>
      <w:r>
        <w:rPr>
          <w:sz w:val="24"/>
        </w:rPr>
        <w:t>3.1 甲方权利与义务</w:t>
      </w:r>
    </w:p>
    <w:p>
      <w:pPr>
        <w:ind w:firstLine="480"/>
        <w:jc w:val="both"/>
      </w:pPr>
      <w:r>
        <w:rPr>
          <w:sz w:val="24"/>
        </w:rPr>
        <w:t>3.1.1 甲方有权按照本合同及相关附件的约定，对项目的工作时间、过程、完成情况进行监督检查，并审核完成的质量。</w:t>
      </w:r>
    </w:p>
    <w:p>
      <w:pPr>
        <w:ind w:firstLine="480"/>
        <w:jc w:val="both"/>
      </w:pPr>
      <w:r>
        <w:rPr>
          <w:sz w:val="24"/>
        </w:rPr>
        <w:t>3.1.2 甲方有权按照本合同及相关附件的约定，要求乙方提供与该项目相关的资料。</w:t>
      </w:r>
    </w:p>
    <w:p>
      <w:pPr>
        <w:ind w:firstLine="480"/>
        <w:jc w:val="both"/>
      </w:pPr>
      <w:r>
        <w:rPr>
          <w:sz w:val="24"/>
        </w:rPr>
        <w:t>3.1.3 甲方应对乙方的工作开展予以充分支持，配合乙方收集项目开展所需资料。</w:t>
      </w:r>
    </w:p>
    <w:p>
      <w:pPr>
        <w:ind w:firstLine="480"/>
        <w:jc w:val="both"/>
      </w:pPr>
      <w:r>
        <w:rPr>
          <w:sz w:val="24"/>
        </w:rPr>
        <w:t>3.1.4 根据合同约定向乙方支付费用。</w:t>
      </w:r>
    </w:p>
    <w:p>
      <w:pPr>
        <w:ind w:firstLine="480"/>
        <w:jc w:val="both"/>
      </w:pPr>
      <w:r>
        <w:rPr>
          <w:sz w:val="24"/>
        </w:rPr>
        <w:t>3.1.5 甲方有权对乙方服务进行监督和指导，并根据实际运营情况，提出合理化建议，乙方应当予以采纳。</w:t>
      </w:r>
    </w:p>
    <w:p>
      <w:pPr>
        <w:ind w:firstLine="480"/>
        <w:jc w:val="both"/>
      </w:pPr>
      <w:r>
        <w:rPr>
          <w:sz w:val="24"/>
        </w:rPr>
        <w:t>3.2 乙方权利与义务</w:t>
      </w:r>
    </w:p>
    <w:p>
      <w:pPr>
        <w:ind w:firstLine="480"/>
        <w:jc w:val="both"/>
      </w:pPr>
      <w:r>
        <w:rPr>
          <w:sz w:val="24"/>
        </w:rPr>
        <w:t>3.2.1 乙方可要求甲方按本合同约定支付费用。</w:t>
      </w:r>
    </w:p>
    <w:p>
      <w:pPr>
        <w:ind w:firstLine="480"/>
        <w:jc w:val="both"/>
      </w:pPr>
      <w:r>
        <w:rPr>
          <w:sz w:val="24"/>
        </w:rPr>
        <w:t>3.2.2 乙方可从甲方处获得必要的工作支持。</w:t>
      </w:r>
    </w:p>
    <w:p>
      <w:pPr>
        <w:ind w:firstLine="480"/>
        <w:jc w:val="both"/>
      </w:pPr>
      <w:r>
        <w:rPr>
          <w:sz w:val="24"/>
        </w:rPr>
        <w:t>3.2.3 乙方须配备足够的、具有专业资质的工作人员开展工作。乙方的工作人员应严格遵守工作纪律和程序，运用专业的知识和技巧开展工作。</w:t>
      </w:r>
    </w:p>
    <w:p>
      <w:pPr>
        <w:ind w:firstLine="480"/>
        <w:jc w:val="both"/>
      </w:pPr>
      <w:r>
        <w:rPr>
          <w:sz w:val="24"/>
        </w:rPr>
        <w:t>3.2.4 项目开展过程中，乙方应积极与甲方沟通联络，向甲方反映工作成效，配合甲方的监督检查。</w:t>
      </w:r>
    </w:p>
    <w:p>
      <w:pPr>
        <w:ind w:firstLine="480"/>
        <w:jc w:val="both"/>
      </w:pPr>
      <w:r>
        <w:rPr>
          <w:sz w:val="24"/>
        </w:rPr>
        <w:t>3.2.5</w:t>
      </w:r>
      <w:r>
        <w:rPr>
          <w:sz w:val="24"/>
        </w:rPr>
        <w:t>提供的服务符合本合同的约定或甲方的要求及验收标准。</w:t>
      </w:r>
    </w:p>
    <w:p>
      <w:pPr>
        <w:ind w:firstLine="480"/>
        <w:jc w:val="both"/>
      </w:pPr>
      <w:r>
        <w:rPr>
          <w:sz w:val="24"/>
        </w:rPr>
        <w:t>3.2.6 乙方应当按本合同约定时间完成本项目工作内容。</w:t>
      </w:r>
    </w:p>
    <w:p>
      <w:pPr>
        <w:ind w:firstLine="480"/>
        <w:jc w:val="both"/>
      </w:pPr>
      <w:r>
        <w:rPr>
          <w:sz w:val="24"/>
        </w:rPr>
        <w:t>3.2.7 乙方须严格按照相关财务管理规定使用项目资金，专款专用，并接受甲方的监管。如乙方未能在合同期内完成全部项目内容，应将相应款项返还甲方。</w:t>
      </w:r>
    </w:p>
    <w:p>
      <w:pPr>
        <w:ind w:firstLine="480"/>
        <w:jc w:val="both"/>
      </w:pPr>
      <w:r>
        <w:rPr>
          <w:sz w:val="24"/>
        </w:rPr>
        <w:t>3.2.8 乙方在履行本合同过程中，不得将该合同项目委托给第三方或与第三方合伙经营。</w:t>
      </w:r>
    </w:p>
    <w:p>
      <w:pPr>
        <w:ind w:firstLine="480"/>
        <w:jc w:val="both"/>
      </w:pPr>
      <w:r>
        <w:rPr>
          <w:sz w:val="24"/>
        </w:rPr>
        <w:t>3.2.9本合同期内或本合同结束，乙方暂停或终止服务的，应当按甲方要求配合甲方进行服务交接工作，若乙方未按甲方要求配合做好服务交接工作的，乙方需缴纳项目运营经费10%作违约金。</w:t>
      </w:r>
    </w:p>
    <w:p>
      <w:pPr>
        <w:ind w:firstLine="480"/>
        <w:jc w:val="both"/>
      </w:pPr>
      <w:r>
        <w:rPr>
          <w:sz w:val="24"/>
        </w:rPr>
        <w:t>3.2.10 乙方及其工作人员对履行本合同而知晓的甲方相关项目信息（含系统账号、系统信息、项目所有资料、非主动公开文件、个人信息等），具有保密义务。乙方未经甲方书面同意，乙方不得在不符合相关规定的场合或网络登录系统账号查阅或下载系统信息，不得为其他任何目的使用或者许可任何第三人使用前述保密信息，亦不得向任何第三人透露或者泄露上述保密信息。保密期限为永久。因乙方泄密造成甲方损失的，除按照法律规定承担有关责任外，乙方还需赔偿甲方的一切损失。</w:t>
      </w:r>
    </w:p>
    <w:p>
      <w:pPr>
        <w:ind w:firstLine="480"/>
        <w:jc w:val="both"/>
      </w:pPr>
      <w:r>
        <w:rPr>
          <w:sz w:val="24"/>
        </w:rPr>
        <w:t>3.2.11在履行本合同项下内容过程中，乙方工作人员或造成他人发生安全事故的，由于乙方负责处理及承担全部赔偿责任。</w:t>
      </w:r>
    </w:p>
    <w:p>
      <w:pPr>
        <w:ind w:firstLine="420"/>
        <w:jc w:val="both"/>
      </w:pPr>
      <w:r>
        <w:rPr>
          <w:sz w:val="21"/>
        </w:rPr>
        <w:t>……</w:t>
      </w:r>
    </w:p>
    <w:p>
      <w:pPr>
        <w:jc w:val="center"/>
      </w:pPr>
      <w:r>
        <w:rPr>
          <w:sz w:val="24"/>
        </w:rPr>
        <w:t>四、合同变更与解除</w:t>
      </w:r>
    </w:p>
    <w:p>
      <w:pPr>
        <w:ind w:firstLine="480"/>
        <w:jc w:val="both"/>
      </w:pPr>
      <w:r>
        <w:rPr>
          <w:sz w:val="24"/>
        </w:rPr>
        <w:t>4.1 合同的变更</w:t>
      </w:r>
    </w:p>
    <w:p>
      <w:pPr>
        <w:ind w:firstLine="480"/>
        <w:jc w:val="both"/>
      </w:pPr>
      <w:r>
        <w:rPr>
          <w:sz w:val="24"/>
        </w:rPr>
        <w:t>因本合同所涉及的政策调整或项目需求发生变化的，甲方可以提出合同的变更，并以书面形式通知乙方，经甲、乙双方协商一致，签署补充协议。</w:t>
      </w:r>
    </w:p>
    <w:p>
      <w:pPr>
        <w:ind w:firstLine="480"/>
        <w:jc w:val="both"/>
      </w:pPr>
      <w:r>
        <w:rPr>
          <w:sz w:val="24"/>
        </w:rPr>
        <w:t>4.2 合同的解除</w:t>
      </w:r>
    </w:p>
    <w:p>
      <w:pPr>
        <w:ind w:firstLine="480"/>
        <w:jc w:val="both"/>
      </w:pPr>
      <w:r>
        <w:rPr>
          <w:sz w:val="24"/>
        </w:rPr>
        <w:t>4.2.1在合同履行过程中，具有以下情形的，甲方有权单方面解除合同，并无需承担违约责任，且不再支付剩余款项，已经支付的，乙方应当予以退还:</w:t>
      </w:r>
    </w:p>
    <w:p>
      <w:pPr>
        <w:ind w:firstLine="480"/>
        <w:jc w:val="both"/>
      </w:pPr>
      <w:r>
        <w:rPr>
          <w:sz w:val="24"/>
        </w:rPr>
        <w:t>(1)因本合同所涉及的政策调整引起的合同内容变化，需提前终止合同的；</w:t>
      </w:r>
    </w:p>
    <w:p>
      <w:pPr>
        <w:ind w:firstLine="480"/>
        <w:jc w:val="both"/>
      </w:pPr>
      <w:r>
        <w:rPr>
          <w:sz w:val="24"/>
        </w:rPr>
        <w:t>(2)甲方能提供有效证据证明乙方有违法违约行为的；</w:t>
      </w:r>
    </w:p>
    <w:p>
      <w:pPr>
        <w:ind w:firstLine="480"/>
        <w:jc w:val="both"/>
      </w:pPr>
      <w:r>
        <w:rPr>
          <w:sz w:val="24"/>
        </w:rPr>
        <w:t>(3)经甲方期中或期末考核评估，乙方未按合同要求完成项目，甲方督促整改后仍不采取积极措施改进的或改进后仍不符合要求的；</w:t>
      </w:r>
    </w:p>
    <w:p>
      <w:pPr>
        <w:ind w:firstLine="480"/>
        <w:jc w:val="both"/>
      </w:pPr>
      <w:r>
        <w:rPr>
          <w:sz w:val="24"/>
        </w:rPr>
        <w:t>(4)乙方将本合同项目转包给第三方或与第三方合伙经营的；</w:t>
      </w:r>
    </w:p>
    <w:p>
      <w:pPr>
        <w:ind w:firstLine="480"/>
        <w:jc w:val="both"/>
      </w:pPr>
      <w:r>
        <w:rPr>
          <w:sz w:val="24"/>
        </w:rPr>
        <w:t>(5)经甲方查证，乙方有伪造数据或挤占、挪用、滥用该合同款项行为的；</w:t>
      </w:r>
    </w:p>
    <w:p>
      <w:pPr>
        <w:ind w:firstLine="480"/>
        <w:jc w:val="both"/>
      </w:pPr>
      <w:r>
        <w:rPr>
          <w:sz w:val="24"/>
        </w:rPr>
        <w:t>(6)经甲方查证，因乙方原因造成其他问题产生不良甚至严重的社会影响；</w:t>
      </w:r>
    </w:p>
    <w:p>
      <w:pPr>
        <w:ind w:firstLine="480"/>
        <w:jc w:val="both"/>
      </w:pPr>
      <w:r>
        <w:rPr>
          <w:sz w:val="24"/>
        </w:rPr>
        <w:t>(7)经甲方查证，乙方存在擅自泄露服务对象信息等情况的；</w:t>
      </w:r>
    </w:p>
    <w:p>
      <w:pPr>
        <w:ind w:firstLine="480"/>
        <w:jc w:val="both"/>
      </w:pPr>
      <w:r>
        <w:rPr>
          <w:sz w:val="24"/>
        </w:rPr>
        <w:t>(8)乙方有其他严重违反本合同的情形。</w:t>
      </w:r>
    </w:p>
    <w:p>
      <w:pPr>
        <w:ind w:firstLine="630"/>
        <w:jc w:val="both"/>
      </w:pPr>
      <w:r>
        <w:rPr>
          <w:sz w:val="21"/>
        </w:rPr>
        <w:t>……</w:t>
      </w:r>
    </w:p>
    <w:p>
      <w:pPr>
        <w:ind w:firstLine="480"/>
        <w:jc w:val="both"/>
      </w:pPr>
      <w:r>
        <w:rPr>
          <w:sz w:val="24"/>
        </w:rPr>
        <w:t>4.2.2 协商解除</w:t>
      </w:r>
    </w:p>
    <w:p>
      <w:pPr>
        <w:ind w:firstLine="480"/>
        <w:jc w:val="both"/>
      </w:pPr>
      <w:r>
        <w:rPr>
          <w:sz w:val="24"/>
        </w:rPr>
        <w:t>(1)因政府政策原因导致双方无法继续履行合同的，双方可协商解除该合同，甲方按乙方实际提供的服务量结算费用；</w:t>
      </w:r>
    </w:p>
    <w:p>
      <w:pPr>
        <w:ind w:firstLine="480"/>
        <w:jc w:val="both"/>
      </w:pPr>
      <w:r>
        <w:rPr>
          <w:sz w:val="24"/>
        </w:rPr>
        <w:t>(2)本合同期满，双方各自完成合同规定的事项，合同自然解除。</w:t>
      </w:r>
    </w:p>
    <w:p>
      <w:pPr>
        <w:jc w:val="center"/>
      </w:pPr>
      <w:r>
        <w:rPr>
          <w:sz w:val="24"/>
        </w:rPr>
        <w:t>五、违约责任</w:t>
      </w:r>
    </w:p>
    <w:p>
      <w:pPr>
        <w:ind w:firstLine="480"/>
        <w:jc w:val="both"/>
      </w:pPr>
      <w:r>
        <w:rPr>
          <w:sz w:val="24"/>
        </w:rPr>
        <w:t>5.1 本合同在履行过程中发生争议，由甲、乙双方协商解决，协商不成的，可以向甲方所在地人民法院提起诉讼。</w:t>
      </w:r>
    </w:p>
    <w:p>
      <w:pPr>
        <w:ind w:firstLine="480"/>
        <w:jc w:val="both"/>
      </w:pPr>
      <w:r>
        <w:rPr>
          <w:color w:val="2C3E50"/>
          <w:sz w:val="24"/>
        </w:rPr>
        <w:t>5.2在履行合同过程中，乙方违反本合同的约定，所开展的工作未达到合同要求的，甲方有权扣除3%的项目运营经费作为违约金；甲方提出书面限期整改通知，乙方应当按照书面意见进行整改。书面限期整改通知累计达二次</w:t>
      </w:r>
      <w:r>
        <w:rPr>
          <w:color w:val="2C3E50"/>
          <w:sz w:val="24"/>
        </w:rPr>
        <w:t>以上</w:t>
      </w:r>
      <w:r>
        <w:rPr>
          <w:color w:val="2C3E50"/>
          <w:sz w:val="24"/>
        </w:rPr>
        <w:t>（</w:t>
      </w:r>
      <w:r>
        <w:rPr>
          <w:color w:val="2C3E50"/>
          <w:sz w:val="24"/>
        </w:rPr>
        <w:t>不</w:t>
      </w:r>
      <w:r>
        <w:rPr>
          <w:color w:val="2C3E50"/>
          <w:sz w:val="24"/>
        </w:rPr>
        <w:t>包含二次），乙方均未按要求整改的，或乙方被投诉，经核实有效而未及时采取积极措施改进累计达二次的（包含二次），甲方有权单方面解除本合同，并无需承担违约责任，且不再支付剩余款项，已经支付的，乙方应当予以退还，并按前述标准向乙方支付违约金；违约金不足以赔偿由此造成甲方的经济损失，乙方仍应予以赔偿不足部分。</w:t>
      </w:r>
    </w:p>
    <w:p>
      <w:pPr>
        <w:ind w:firstLine="480"/>
        <w:jc w:val="both"/>
      </w:pPr>
      <w:r>
        <w:rPr>
          <w:sz w:val="24"/>
        </w:rPr>
        <w:t>5.3 由于乙方原因造成该合同项目成果不符合约定要求，或未通过甲方验收的，甲方有权要求乙方支付本合同项目运营经费的3%作为违约金。</w:t>
      </w:r>
    </w:p>
    <w:p>
      <w:pPr>
        <w:ind w:firstLine="480"/>
        <w:jc w:val="both"/>
      </w:pPr>
      <w:r>
        <w:rPr>
          <w:sz w:val="24"/>
        </w:rPr>
        <w:t>5.4 因广州市财政体制改革、广州市社区居家养老服务政策变更或其他不可抗力导致项目中断或变化的，不属于违约范畴。</w:t>
      </w:r>
    </w:p>
    <w:p>
      <w:pPr>
        <w:ind w:firstLine="480"/>
        <w:jc w:val="both"/>
      </w:pPr>
      <w:r>
        <w:rPr>
          <w:sz w:val="24"/>
        </w:rPr>
        <w:t>5.5 任何签约方违反本合同约定的，违约方应向守约方承担一切的经济损失并承担相应的赔偿责任，该损失包括但不限于涉诉产生律师费、诉讼费或仲裁费、公证费、保全费、评估鉴定费等。</w:t>
      </w:r>
    </w:p>
    <w:p>
      <w:pPr>
        <w:ind w:firstLine="480"/>
        <w:jc w:val="both"/>
      </w:pPr>
      <w:r>
        <w:rPr>
          <w:sz w:val="24"/>
        </w:rPr>
        <w:t>5.6在本项目运营服务过程中，由于乙方的违法违规或不当行为及过失所造成的损失及有关责任，有乙方承担；乙方与其他第三方发生的一切纠纷及责任，由乙方自行承担，与甲方无关。</w:t>
      </w:r>
    </w:p>
    <w:p>
      <w:pPr>
        <w:jc w:val="both"/>
      </w:pPr>
      <w:r>
        <w:rPr>
          <w:sz w:val="21"/>
        </w:rPr>
        <w:t xml:space="preserve">   </w:t>
      </w:r>
      <w:r>
        <w:rPr>
          <w:sz w:val="21"/>
        </w:rPr>
        <w:t>……</w:t>
      </w:r>
    </w:p>
    <w:p>
      <w:pPr>
        <w:jc w:val="center"/>
      </w:pPr>
      <w:r>
        <w:rPr>
          <w:sz w:val="24"/>
        </w:rPr>
        <w:t>六、不可抗力</w:t>
      </w:r>
    </w:p>
    <w:p>
      <w:pPr>
        <w:ind w:firstLine="640"/>
        <w:jc w:val="both"/>
      </w:pPr>
      <w:r>
        <w:rPr>
          <w:sz w:val="24"/>
        </w:rPr>
        <w:t>任何一方由于不可抗力的原因不能履行合同时（不可抗力因素包括战争、火灾、洪水、台风、地震、政策变化、疫情原因或其他人力不可抗拒之事件），应及时以书面形式通知对方不能履行或不能完全履行的理由，以减轻可能给对方造成的损失，在取得双方同意后，允许延期履行、部分履行或不履行合同，并根据情况可部分或全部免予承担违约责任。</w:t>
      </w:r>
    </w:p>
    <w:p>
      <w:pPr>
        <w:jc w:val="center"/>
      </w:pPr>
      <w:r>
        <w:rPr>
          <w:sz w:val="24"/>
        </w:rPr>
        <w:t>七、当事人协商一致的其他内容</w:t>
      </w:r>
    </w:p>
    <w:p>
      <w:pPr>
        <w:ind w:firstLine="480"/>
        <w:jc w:val="both"/>
      </w:pPr>
      <w:r>
        <w:rPr>
          <w:sz w:val="24"/>
        </w:rPr>
        <w:t>本项目合同结束后，甲方在购买南沙区居家养老综合服务平台运营项目的过渡期间，乙方需配合甲方完成较为紧急的任务，甲方按乙方实际的情况支付相应资金。</w:t>
      </w:r>
    </w:p>
    <w:p>
      <w:pPr>
        <w:jc w:val="center"/>
      </w:pPr>
      <w:r>
        <w:rPr>
          <w:sz w:val="24"/>
        </w:rPr>
        <w:t>八、合同生效及附件</w:t>
      </w:r>
    </w:p>
    <w:p>
      <w:pPr>
        <w:ind w:firstLine="480"/>
        <w:jc w:val="both"/>
      </w:pPr>
      <w:r>
        <w:rPr>
          <w:sz w:val="24"/>
        </w:rPr>
        <w:t>8</w:t>
      </w:r>
      <w:r>
        <w:rPr>
          <w:sz w:val="24"/>
        </w:rPr>
        <w:t>.1 本合同一式</w:t>
      </w:r>
      <w:r>
        <w:rPr>
          <w:sz w:val="21"/>
          <w:u w:val="single"/>
        </w:rPr>
        <w:t xml:space="preserve"> </w:t>
      </w:r>
      <w:r>
        <w:rPr>
          <w:sz w:val="24"/>
          <w:u w:val="single"/>
        </w:rPr>
        <w:t>陆</w:t>
      </w:r>
      <w:r>
        <w:rPr>
          <w:sz w:val="21"/>
          <w:u w:val="single"/>
        </w:rPr>
        <w:t xml:space="preserve"> </w:t>
      </w:r>
      <w:r>
        <w:rPr>
          <w:sz w:val="24"/>
        </w:rPr>
        <w:t>份，甲方执</w:t>
      </w:r>
      <w:r>
        <w:rPr>
          <w:sz w:val="24"/>
          <w:u w:val="single"/>
        </w:rPr>
        <w:t>肆</w:t>
      </w:r>
      <w:r>
        <w:rPr>
          <w:sz w:val="24"/>
        </w:rPr>
        <w:t>份、乙方执</w:t>
      </w:r>
      <w:r>
        <w:rPr>
          <w:sz w:val="24"/>
          <w:u w:val="single"/>
        </w:rPr>
        <w:t>贰</w:t>
      </w:r>
      <w:r>
        <w:rPr>
          <w:sz w:val="24"/>
        </w:rPr>
        <w:t>份，自甲、乙双方法定代表人或授权代表签字且加盖公章之日起生效。</w:t>
      </w:r>
    </w:p>
    <w:p>
      <w:pPr>
        <w:ind w:firstLine="480"/>
        <w:jc w:val="both"/>
      </w:pPr>
      <w:r>
        <w:rPr>
          <w:sz w:val="24"/>
        </w:rPr>
        <w:t>8</w:t>
      </w:r>
      <w:r>
        <w:rPr>
          <w:sz w:val="24"/>
        </w:rPr>
        <w:t>.2</w:t>
      </w:r>
      <w:r>
        <w:rPr>
          <w:sz w:val="21"/>
        </w:rPr>
        <w:t xml:space="preserve"> </w:t>
      </w:r>
      <w:r>
        <w:rPr>
          <w:sz w:val="24"/>
        </w:rPr>
        <w:t>合同期限为</w:t>
      </w:r>
      <w:r>
        <w:rPr>
          <w:sz w:val="21"/>
          <w:u w:val="single"/>
        </w:rPr>
        <w:t xml:space="preserve"> </w:t>
      </w:r>
      <w:r>
        <w:rPr>
          <w:sz w:val="24"/>
          <w:u w:val="single"/>
        </w:rPr>
        <w:t>一年</w:t>
      </w:r>
      <w:r>
        <w:rPr>
          <w:sz w:val="24"/>
        </w:rPr>
        <w:t>，自</w:t>
      </w:r>
      <w:r>
        <w:rPr>
          <w:sz w:val="24"/>
          <w:u w:val="single"/>
        </w:rPr>
        <w:t>202</w:t>
      </w:r>
      <w:r>
        <w:rPr>
          <w:sz w:val="24"/>
          <w:u w:val="single"/>
        </w:rPr>
        <w:t>2</w:t>
      </w:r>
      <w:r>
        <w:rPr>
          <w:sz w:val="24"/>
        </w:rPr>
        <w:t>年</w:t>
      </w:r>
      <w:r>
        <w:rPr>
          <w:sz w:val="21"/>
          <w:u w:val="single"/>
        </w:rPr>
        <w:t xml:space="preserve">  </w:t>
      </w:r>
      <w:r>
        <w:rPr>
          <w:sz w:val="24"/>
        </w:rPr>
        <w:t>月</w:t>
      </w:r>
      <w:r>
        <w:rPr>
          <w:sz w:val="21"/>
          <w:u w:val="single"/>
        </w:rPr>
        <w:t xml:space="preserve">  </w:t>
      </w:r>
      <w:r>
        <w:rPr>
          <w:sz w:val="24"/>
        </w:rPr>
        <w:t>日起至</w:t>
      </w:r>
      <w:r>
        <w:rPr>
          <w:sz w:val="24"/>
          <w:u w:val="single"/>
        </w:rPr>
        <w:t>202</w:t>
      </w:r>
      <w:r>
        <w:rPr>
          <w:sz w:val="24"/>
          <w:u w:val="single"/>
        </w:rPr>
        <w:t>3</w:t>
      </w:r>
      <w:r>
        <w:rPr>
          <w:sz w:val="24"/>
        </w:rPr>
        <w:t>年</w:t>
      </w:r>
      <w:r>
        <w:rPr>
          <w:sz w:val="21"/>
          <w:u w:val="single"/>
        </w:rPr>
        <w:t xml:space="preserve">  </w:t>
      </w:r>
      <w:r>
        <w:rPr>
          <w:sz w:val="24"/>
        </w:rPr>
        <w:t>月</w:t>
      </w:r>
      <w:r>
        <w:rPr>
          <w:sz w:val="21"/>
          <w:u w:val="single"/>
        </w:rPr>
        <w:t xml:space="preserve">  </w:t>
      </w:r>
      <w:r>
        <w:rPr>
          <w:sz w:val="24"/>
        </w:rPr>
        <w:t>日止。</w:t>
      </w:r>
    </w:p>
    <w:p>
      <w:pPr>
        <w:ind w:firstLine="480"/>
        <w:jc w:val="both"/>
      </w:pPr>
      <w:r>
        <w:rPr>
          <w:sz w:val="24"/>
        </w:rPr>
        <w:t>8</w:t>
      </w:r>
      <w:r>
        <w:rPr>
          <w:sz w:val="24"/>
        </w:rPr>
        <w:t>.3双方因履行本合同而相互发出或者提供的所有通知、文件、</w:t>
      </w:r>
      <w:r>
        <w:rPr>
          <w:sz w:val="24"/>
        </w:rPr>
        <w:t>法律文书等</w:t>
      </w:r>
      <w:r>
        <w:rPr>
          <w:sz w:val="24"/>
        </w:rPr>
        <w:t>材料，均以本合同载明的地址</w:t>
      </w:r>
      <w:r>
        <w:rPr>
          <w:sz w:val="24"/>
        </w:rPr>
        <w:t>为准</w:t>
      </w:r>
      <w:r>
        <w:rPr>
          <w:sz w:val="24"/>
        </w:rPr>
        <w:t>。一方迁址的，应当提前三天书面通知对方。以当面交付文件方式送达的，交付之时视为送达；以邮寄方式送达的，邮件发出当日视为送达。双方均确认载明地址为有效送达地址。通知、文件</w:t>
      </w:r>
      <w:r>
        <w:rPr>
          <w:sz w:val="24"/>
        </w:rPr>
        <w:t>、法律文书</w:t>
      </w:r>
      <w:r>
        <w:rPr>
          <w:sz w:val="24"/>
        </w:rPr>
        <w:t>等材料通过载明地址发送的，一方拒签或他人签收不影响送达的生效。</w:t>
      </w:r>
    </w:p>
    <w:p>
      <w:pPr>
        <w:ind w:firstLine="480"/>
        <w:jc w:val="both"/>
      </w:pPr>
      <w:r>
        <w:rPr>
          <w:sz w:val="24"/>
        </w:rPr>
        <w:t>8.4 本合同附件为本合同重要组成部分，具有相同法律效力。</w:t>
      </w:r>
    </w:p>
    <w:p>
      <w:pPr>
        <w:ind w:firstLine="480"/>
        <w:jc w:val="both"/>
      </w:pPr>
      <w:r>
        <w:rPr>
          <w:sz w:val="24"/>
        </w:rPr>
        <w:t>8.5 所有经双方签署确认一致的文件（包括补充合同）、采购文件、要约文件和相应承诺文件，以及乙方提交的项目响应文件、合同附件均为本合同不可分割的有效组成部分，与本合同具有同等的法律效力。</w:t>
      </w:r>
    </w:p>
    <w:p>
      <w:pPr>
        <w:ind w:firstLine="480"/>
        <w:jc w:val="both"/>
      </w:pPr>
      <w:r>
        <w:rPr>
          <w:sz w:val="24"/>
        </w:rPr>
        <w:t>8.6</w:t>
      </w:r>
      <w:r>
        <w:rPr>
          <w:sz w:val="24"/>
        </w:rPr>
        <w:t>本合同未尽事宜，经双方协商可签订补充协议，法律效力与本合同相同。</w:t>
      </w:r>
    </w:p>
    <w:p>
      <w:pPr>
        <w:ind w:firstLine="480"/>
        <w:jc w:val="both"/>
      </w:pPr>
    </w:p>
    <w:p>
      <w:pPr>
        <w:ind w:firstLine="480"/>
        <w:jc w:val="both"/>
      </w:pPr>
      <w:r>
        <w:rPr>
          <w:sz w:val="21"/>
        </w:rPr>
        <w:t xml:space="preserve"> </w:t>
      </w:r>
    </w:p>
    <w:p>
      <w:pPr>
        <w:jc w:val="both"/>
      </w:pPr>
      <w:r>
        <w:rPr>
          <w:sz w:val="21"/>
        </w:rPr>
        <w:t xml:space="preserve"> </w:t>
      </w:r>
    </w:p>
    <w:p>
      <w:pPr>
        <w:jc w:val="both"/>
      </w:pPr>
      <w:r>
        <w:rPr>
          <w:sz w:val="24"/>
        </w:rPr>
        <w:t>甲方</w:t>
      </w:r>
      <w:r>
        <w:rPr>
          <w:sz w:val="24"/>
        </w:rPr>
        <w:t>: (公章)</w:t>
      </w:r>
    </w:p>
    <w:p>
      <w:pPr>
        <w:jc w:val="both"/>
      </w:pPr>
      <w:r>
        <w:rPr>
          <w:sz w:val="24"/>
        </w:rPr>
        <w:t>法定代表人或授权代表</w:t>
      </w:r>
      <w:r>
        <w:rPr>
          <w:sz w:val="24"/>
        </w:rPr>
        <w:t>(签字):</w:t>
      </w:r>
    </w:p>
    <w:p>
      <w:pPr>
        <w:jc w:val="both"/>
      </w:pPr>
      <w:r>
        <w:rPr>
          <w:sz w:val="24"/>
        </w:rPr>
        <w:t>日期</w:t>
      </w:r>
      <w:r>
        <w:rPr>
          <w:sz w:val="24"/>
        </w:rPr>
        <w:t xml:space="preserve">:  </w:t>
      </w:r>
      <w:r>
        <w:rPr>
          <w:sz w:val="24"/>
        </w:rPr>
        <w:t xml:space="preserve"> </w:t>
      </w:r>
      <w:r>
        <w:rPr>
          <w:sz w:val="24"/>
        </w:rPr>
        <w:t>年</w:t>
      </w:r>
      <w:r>
        <w:rPr>
          <w:sz w:val="24"/>
        </w:rPr>
        <w:t xml:space="preserve">  </w:t>
      </w:r>
      <w:r>
        <w:rPr>
          <w:sz w:val="24"/>
        </w:rPr>
        <w:t>月</w:t>
      </w:r>
      <w:r>
        <w:rPr>
          <w:sz w:val="24"/>
        </w:rPr>
        <w:t xml:space="preserve">  </w:t>
      </w:r>
      <w:r>
        <w:rPr>
          <w:sz w:val="24"/>
        </w:rPr>
        <w:t>日</w:t>
      </w:r>
    </w:p>
    <w:p>
      <w:pPr>
        <w:jc w:val="both"/>
      </w:pPr>
    </w:p>
    <w:p>
      <w:pPr>
        <w:jc w:val="both"/>
      </w:pPr>
    </w:p>
    <w:p>
      <w:pPr>
        <w:jc w:val="both"/>
      </w:pPr>
    </w:p>
    <w:p>
      <w:pPr>
        <w:jc w:val="both"/>
      </w:pPr>
    </w:p>
    <w:p>
      <w:pPr>
        <w:jc w:val="both"/>
      </w:pPr>
      <w:r>
        <w:rPr>
          <w:sz w:val="24"/>
        </w:rPr>
        <w:t>乙方</w:t>
      </w:r>
      <w:r>
        <w:rPr>
          <w:sz w:val="24"/>
        </w:rPr>
        <w:t>: (公章)</w:t>
      </w:r>
    </w:p>
    <w:p>
      <w:pPr>
        <w:jc w:val="both"/>
      </w:pPr>
      <w:r>
        <w:rPr>
          <w:sz w:val="24"/>
        </w:rPr>
        <w:t>法定代表人或授权代表</w:t>
      </w:r>
      <w:r>
        <w:rPr>
          <w:sz w:val="24"/>
        </w:rPr>
        <w:t>(签字):</w:t>
      </w:r>
    </w:p>
    <w:p>
      <w:pPr>
        <w:jc w:val="left"/>
      </w:pPr>
      <w:r>
        <w:rPr>
          <w:sz w:val="24"/>
        </w:rPr>
        <w:t>日期</w:t>
      </w:r>
      <w:r>
        <w:rPr>
          <w:sz w:val="24"/>
        </w:rPr>
        <w:t xml:space="preserve">:  </w:t>
      </w:r>
      <w:r>
        <w:rPr>
          <w:sz w:val="24"/>
        </w:rPr>
        <w:t xml:space="preserve"> </w:t>
      </w:r>
      <w:r>
        <w:rPr>
          <w:sz w:val="24"/>
        </w:rPr>
        <w:t>年</w:t>
      </w:r>
      <w:r>
        <w:rPr>
          <w:sz w:val="24"/>
        </w:rPr>
        <w:t xml:space="preserve">  </w:t>
      </w:r>
      <w:r>
        <w:rPr>
          <w:sz w:val="24"/>
        </w:rPr>
        <w:t>月</w:t>
      </w:r>
      <w:r>
        <w:rPr>
          <w:sz w:val="24"/>
        </w:rPr>
        <w:t xml:space="preserve"> </w:t>
      </w:r>
      <w:r>
        <w:rPr>
          <w:sz w:val="24"/>
        </w:rPr>
        <w:t xml:space="preserve"> </w:t>
      </w:r>
      <w:r>
        <w:rPr>
          <w:sz w:val="24"/>
        </w:rPr>
        <w:t>日</w:t>
      </w:r>
    </w:p>
    <w:p>
      <w:pPr>
        <w:jc w:val="left"/>
      </w:pPr>
    </w:p>
    <w:p>
      <w:pPr>
        <w:jc w:val="left"/>
      </w:pP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440115-2022-04031</w:t>
      </w:r>
    </w:p>
    <w:p>
      <w:pPr>
        <w:jc w:val="center"/>
      </w:pPr>
      <w:r>
        <w:rPr>
          <w:b/>
          <w:sz w:val="24"/>
        </w:rPr>
        <w:t>采购项目编号：</w:t>
      </w:r>
      <w:r>
        <w:rPr>
          <w:b/>
          <w:sz w:val="24"/>
        </w:rPr>
        <w:t>PZGKCZ220311</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品正招标采购（广州）有限公司</w:t>
      </w:r>
    </w:p>
    <w:p>
      <w:pPr>
        <w:ind w:firstLine="480"/>
      </w:pPr>
      <w:r>
        <w:rPr/>
        <w:t>你方组织的</w:t>
      </w:r>
      <w:r>
        <w:rPr>
          <w:u w:val="single"/>
        </w:rPr>
        <w:t>广州市南沙区综合养老服务中心运营项目</w:t>
      </w:r>
      <w:r>
        <w:rPr/>
        <w:t>项目的竞争性磋商[采购项目编号为：</w:t>
      </w:r>
      <w:r>
        <w:rPr>
          <w:u w:val="single"/>
        </w:rPr>
        <w:t>PZGKCZ220311</w:t>
      </w:r>
      <w:r>
        <w:rPr/>
        <w:t>]，我方愿参与响应。</w:t>
      </w:r>
    </w:p>
    <w:p>
      <w:pPr>
        <w:ind w:firstLine="480"/>
      </w:pPr>
      <w:r>
        <w:rPr/>
        <w:t>我方确认收到贵方提供的</w:t>
      </w:r>
      <w:r>
        <w:rPr>
          <w:u w:val="single"/>
        </w:rPr>
        <w:t>广州市南沙区综合养老服务中心运营项目</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（十三）我方对在本函及响应文件中所作的所有承诺承担法律责任。</w:t>
      </w:r>
    </w:p>
    <w:p>
      <w:pPr>
        <w:ind w:firstLine="480"/>
      </w:pPr>
      <w:r>
        <w:rPr/>
        <w:t>（十四）所有与本磋商有关的函件请发往下列地址：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品正招标采购（广州）有限公司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广州市南沙区综合养老服务中心运营项目</w:t>
      </w:r>
      <w:r>
        <w:rPr/>
        <w:t>项目采购[采购项目编号为</w:t>
      </w:r>
      <w:r>
        <w:rPr/>
        <w:t>PZGKCZ220311</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广州市南沙区民政局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品正招标采购（广州）有限公司</w:t>
      </w:r>
    </w:p>
    <w:p>
      <w:pPr>
        <w:ind w:firstLine="480"/>
      </w:pPr>
      <w:r>
        <w:rPr/>
        <w:t>我单位参加贵公司组织的</w:t>
      </w:r>
      <w:r>
        <w:rPr/>
        <w:t>广州市南沙区综合养老服务中心运营项目</w:t>
      </w:r>
      <w:r>
        <w:rPr/>
        <w:t>（采购项目编号：</w:t>
      </w:r>
      <w:r>
        <w:rPr/>
        <w:t>PZGKCZ220311</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